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CDA9" w14:textId="77777777" w:rsidR="003B0A13" w:rsidRPr="003B0A13" w:rsidRDefault="003B0A13" w:rsidP="003B0A13">
      <w:pPr>
        <w:spacing w:before="100" w:beforeAutospacing="1" w:after="100" w:afterAutospacing="1"/>
        <w:outlineLvl w:val="2"/>
        <w:rPr>
          <w:b/>
          <w:bCs/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 xml:space="preserve">Summary </w:t>
      </w:r>
    </w:p>
    <w:p w14:paraId="799A6329" w14:textId="4779E2E1" w:rsidR="003B0A13" w:rsidRPr="003B0A13" w:rsidRDefault="003B0A13" w:rsidP="003B0A13">
      <w:pPr>
        <w:ind w:left="1701" w:hanging="170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Title:</w:t>
      </w:r>
      <w:r w:rsidRPr="003B0A13">
        <w:rPr>
          <w:color w:val="000000"/>
          <w:szCs w:val="20"/>
          <w:lang w:val="en-DE"/>
        </w:rPr>
        <w:t> </w:t>
      </w:r>
      <w:r w:rsidRPr="003B0A13">
        <w:rPr>
          <w:color w:val="000000"/>
          <w:szCs w:val="20"/>
          <w:lang w:val="en-DE"/>
        </w:rPr>
        <w:tab/>
      </w:r>
      <w:r w:rsidRPr="003B0A13">
        <w:rPr>
          <w:color w:val="000000"/>
          <w:szCs w:val="20"/>
          <w:lang w:val="en-DE"/>
        </w:rPr>
        <w:t>Development of a Certification Program for Monitoring and Evaluation Experts in Tajikistan</w:t>
      </w:r>
    </w:p>
    <w:p w14:paraId="4DF019A5" w14:textId="2A01B1B9" w:rsidR="003B0A13" w:rsidRPr="003B0A13" w:rsidRDefault="003B0A13" w:rsidP="003B0A13">
      <w:pPr>
        <w:ind w:left="1701" w:hanging="170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Location:</w:t>
      </w:r>
      <w:r w:rsidRPr="003B0A13">
        <w:rPr>
          <w:color w:val="000000"/>
          <w:szCs w:val="20"/>
          <w:lang w:val="en-DE"/>
        </w:rPr>
        <w:t> </w:t>
      </w:r>
      <w:r w:rsidRPr="003B0A13">
        <w:rPr>
          <w:color w:val="000000"/>
          <w:szCs w:val="20"/>
          <w:lang w:val="en-DE"/>
        </w:rPr>
        <w:tab/>
      </w:r>
      <w:r w:rsidRPr="003B0A13">
        <w:rPr>
          <w:color w:val="000000"/>
          <w:szCs w:val="20"/>
          <w:lang w:val="en-DE"/>
        </w:rPr>
        <w:t>Dushanbe, Tajikistan</w:t>
      </w:r>
    </w:p>
    <w:p w14:paraId="26C7A8EA" w14:textId="1E0BD3D6" w:rsidR="003B0A13" w:rsidRPr="003B0A13" w:rsidRDefault="003B0A13" w:rsidP="003B0A13">
      <w:pPr>
        <w:ind w:left="1701" w:hanging="170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Date:</w:t>
      </w:r>
      <w:r w:rsidRPr="003B0A13">
        <w:rPr>
          <w:color w:val="000000"/>
          <w:szCs w:val="20"/>
          <w:lang w:val="en-DE"/>
        </w:rPr>
        <w:t> </w:t>
      </w:r>
      <w:r w:rsidRPr="003B0A13">
        <w:rPr>
          <w:color w:val="000000"/>
          <w:szCs w:val="20"/>
          <w:lang w:val="en-DE"/>
        </w:rPr>
        <w:tab/>
      </w:r>
      <w:r w:rsidRPr="003B0A13">
        <w:rPr>
          <w:color w:val="000000"/>
          <w:szCs w:val="20"/>
          <w:lang w:val="en-DE"/>
        </w:rPr>
        <w:t>January – December 2025</w:t>
      </w:r>
    </w:p>
    <w:p w14:paraId="54A7ED00" w14:textId="74B7C20F" w:rsidR="003B0A13" w:rsidRPr="003B0A13" w:rsidRDefault="003B0A13" w:rsidP="003B0A13">
      <w:pPr>
        <w:spacing w:before="100" w:beforeAutospacing="1" w:after="100" w:afterAutospacing="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Rationale:</w:t>
      </w:r>
      <w:r w:rsidR="003A1CFC">
        <w:rPr>
          <w:color w:val="000000"/>
          <w:szCs w:val="20"/>
          <w:lang w:val="en-DE"/>
        </w:rPr>
        <w:t xml:space="preserve"> </w:t>
      </w:r>
      <w:r w:rsidRPr="003B0A13">
        <w:rPr>
          <w:color w:val="000000"/>
          <w:szCs w:val="20"/>
          <w:lang w:val="en-DE"/>
        </w:rPr>
        <w:t>As Tajikistan progresses in aligning its Monitoring and Evaluation (M&amp;E) frameworks with national socio-economic objectives and international standards, the availability of skilled and certified M&amp;E professionals remains a critical gap. This program will address this gap by equipping government staff with the necessary skills to enhance evidence-based decision-making, align projects with donor expectations, and integrate sector-specific approaches. By adopting and contextualizing relevant national and regional standards, the initiative ensures practical and sustainable outcomes tailored to Tajikistan’s needs.</w:t>
      </w:r>
    </w:p>
    <w:p w14:paraId="493C0A97" w14:textId="3B803BF9" w:rsidR="003B0A13" w:rsidRPr="003B0A13" w:rsidRDefault="003B0A13" w:rsidP="003B0A13">
      <w:pPr>
        <w:spacing w:before="100" w:beforeAutospacing="1" w:after="100" w:afterAutospacing="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Objective:</w:t>
      </w:r>
      <w:r w:rsidR="003A1CFC">
        <w:rPr>
          <w:color w:val="000000"/>
          <w:szCs w:val="20"/>
          <w:lang w:val="en-DE"/>
        </w:rPr>
        <w:t xml:space="preserve"> </w:t>
      </w:r>
      <w:r w:rsidRPr="003B0A13">
        <w:rPr>
          <w:color w:val="000000"/>
          <w:szCs w:val="20"/>
          <w:lang w:val="en-DE"/>
        </w:rPr>
        <w:t xml:space="preserve">To develop and implement a certification program tailored for government staff from the Ministry of Education and Science (MoES), Ministry of Labour, Migration, and Employment (MoLME), and related institutions. The goal is to certify </w:t>
      </w:r>
      <w:r w:rsidRPr="003B0A13">
        <w:rPr>
          <w:color w:val="000000"/>
          <w:szCs w:val="20"/>
          <w:lang w:val="en-DE"/>
        </w:rPr>
        <w:t xml:space="preserve">at least 10 </w:t>
      </w:r>
      <w:r w:rsidRPr="003B0A13">
        <w:rPr>
          <w:color w:val="000000"/>
          <w:szCs w:val="20"/>
          <w:lang w:val="en-DE"/>
        </w:rPr>
        <w:t>participants as M&amp;E professionals by the end of 2025, enhancing institutional capacity in the education and labour sectors.</w:t>
      </w:r>
    </w:p>
    <w:p w14:paraId="1F6F2AC9" w14:textId="08CAF9D0" w:rsidR="003B0A13" w:rsidRPr="003B0A13" w:rsidRDefault="003B0A13" w:rsidP="003A1CFC">
      <w:pPr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 xml:space="preserve">Activities </w:t>
      </w:r>
      <w:r w:rsidR="003A1CFC">
        <w:rPr>
          <w:b/>
          <w:bCs/>
          <w:color w:val="000000"/>
          <w:szCs w:val="20"/>
          <w:lang w:val="en-DE"/>
        </w:rPr>
        <w:t>i</w:t>
      </w:r>
      <w:r w:rsidRPr="003B0A13">
        <w:rPr>
          <w:b/>
          <w:bCs/>
          <w:color w:val="000000"/>
          <w:szCs w:val="20"/>
          <w:lang w:val="en-DE"/>
        </w:rPr>
        <w:t>nclude</w:t>
      </w:r>
      <w:r w:rsidR="003A1CFC">
        <w:rPr>
          <w:b/>
          <w:bCs/>
          <w:color w:val="000000"/>
          <w:szCs w:val="20"/>
          <w:lang w:val="en-DE"/>
        </w:rPr>
        <w:t>, but are not limited to</w:t>
      </w:r>
      <w:r w:rsidRPr="003B0A13">
        <w:rPr>
          <w:b/>
          <w:bCs/>
          <w:color w:val="000000"/>
          <w:szCs w:val="20"/>
          <w:lang w:val="en-DE"/>
        </w:rPr>
        <w:t>:</w:t>
      </w:r>
    </w:p>
    <w:p w14:paraId="6AC54213" w14:textId="3045095A" w:rsidR="003B0A13" w:rsidRPr="003B0A13" w:rsidRDefault="003B0A13" w:rsidP="003A1CFC">
      <w:pPr>
        <w:numPr>
          <w:ilvl w:val="0"/>
          <w:numId w:val="26"/>
        </w:numPr>
        <w:ind w:left="714" w:hanging="357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Needs Assessment:</w:t>
      </w:r>
      <w:r w:rsidR="003A1CFC">
        <w:rPr>
          <w:color w:val="000000"/>
          <w:szCs w:val="20"/>
          <w:lang w:val="en-DE"/>
        </w:rPr>
        <w:t xml:space="preserve"> </w:t>
      </w:r>
      <w:r w:rsidRPr="003B0A13">
        <w:rPr>
          <w:color w:val="000000"/>
          <w:szCs w:val="20"/>
          <w:lang w:val="en-DE"/>
        </w:rPr>
        <w:t>Engage stakeholders to identify competency gaps and finalize participant selection criteria, ensuring alignment with the strategic priorities of the National Development Strategy 2030.</w:t>
      </w:r>
    </w:p>
    <w:p w14:paraId="6E616034" w14:textId="369C9039" w:rsidR="003B0A13" w:rsidRPr="003B0A13" w:rsidRDefault="003B0A13" w:rsidP="003A1CFC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Curriculum Development:</w:t>
      </w:r>
      <w:r w:rsidRPr="003B0A13">
        <w:rPr>
          <w:color w:val="000000"/>
          <w:szCs w:val="20"/>
          <w:lang w:val="en-DE"/>
        </w:rPr>
        <w:t>Collaborate with EU experts to design a curriculum incorporating national and regional stand</w:t>
      </w:r>
      <w:r w:rsidR="003A1CFC">
        <w:rPr>
          <w:color w:val="000000"/>
          <w:szCs w:val="20"/>
          <w:lang w:val="en-DE"/>
        </w:rPr>
        <w:t xml:space="preserve"> </w:t>
      </w:r>
      <w:r w:rsidRPr="003B0A13">
        <w:rPr>
          <w:color w:val="000000"/>
          <w:szCs w:val="20"/>
          <w:lang w:val="en-DE"/>
        </w:rPr>
        <w:t>ards, adjusted to Tajikistan’s context</w:t>
      </w:r>
      <w:r w:rsidR="003A1CFC">
        <w:rPr>
          <w:color w:val="000000"/>
          <w:szCs w:val="20"/>
          <w:lang w:val="en-DE"/>
        </w:rPr>
        <w:t>, i</w:t>
      </w:r>
      <w:r w:rsidRPr="003B0A13">
        <w:rPr>
          <w:color w:val="000000"/>
          <w:szCs w:val="20"/>
          <w:lang w:val="en-DE"/>
        </w:rPr>
        <w:t>nclude advanced topics such as policy impact analysis, sector-specific M&amp;E approaches, and integration of AI-powered tools for predictive analytics.</w:t>
      </w:r>
    </w:p>
    <w:p w14:paraId="5F3FA23B" w14:textId="18C05229" w:rsidR="003B0A13" w:rsidRPr="003B0A13" w:rsidRDefault="003B0A13" w:rsidP="003A1CFC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Workshops and Online Training:</w:t>
      </w:r>
      <w:r w:rsidR="003A1CFC">
        <w:rPr>
          <w:color w:val="000000"/>
          <w:szCs w:val="20"/>
          <w:lang w:val="en-DE"/>
        </w:rPr>
        <w:t xml:space="preserve"> </w:t>
      </w:r>
      <w:r w:rsidRPr="003B0A13">
        <w:rPr>
          <w:color w:val="000000"/>
          <w:szCs w:val="20"/>
          <w:lang w:val="en-DE"/>
        </w:rPr>
        <w:t xml:space="preserve">Deliver </w:t>
      </w:r>
      <w:r w:rsidRPr="003A1CFC">
        <w:rPr>
          <w:color w:val="000000"/>
          <w:szCs w:val="20"/>
          <w:lang w:val="en-DE"/>
        </w:rPr>
        <w:t xml:space="preserve">weekly microlearning sessions and </w:t>
      </w:r>
      <w:r w:rsidRPr="003B0A13">
        <w:rPr>
          <w:color w:val="000000"/>
          <w:szCs w:val="20"/>
          <w:lang w:val="en-DE"/>
        </w:rPr>
        <w:t>three intensive workshops on foundational M&amp;E principles, donor coordination, and project management</w:t>
      </w:r>
      <w:r w:rsidR="003A1CFC">
        <w:rPr>
          <w:color w:val="000000"/>
          <w:szCs w:val="20"/>
          <w:lang w:val="en-DE"/>
        </w:rPr>
        <w:t>, o</w:t>
      </w:r>
      <w:r w:rsidRPr="003B0A13">
        <w:rPr>
          <w:color w:val="000000"/>
          <w:szCs w:val="20"/>
          <w:lang w:val="en-DE"/>
        </w:rPr>
        <w:t>ffer online modules covering digital tools, data visualization, and real-time monitoring techniques.</w:t>
      </w:r>
    </w:p>
    <w:p w14:paraId="70FB9E17" w14:textId="41CA8879" w:rsidR="003B0A13" w:rsidRPr="003B0A13" w:rsidRDefault="003B0A13" w:rsidP="003A1CFC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Practical Project Development:</w:t>
      </w:r>
      <w:r w:rsidR="003A1CFC">
        <w:rPr>
          <w:color w:val="000000"/>
          <w:szCs w:val="20"/>
          <w:lang w:val="en-DE"/>
        </w:rPr>
        <w:t xml:space="preserve">a </w:t>
      </w:r>
      <w:r w:rsidRPr="003B0A13">
        <w:rPr>
          <w:color w:val="000000"/>
          <w:szCs w:val="20"/>
          <w:lang w:val="en-DE"/>
        </w:rPr>
        <w:t>ssign participants to develop comprehensive M&amp;E frameworks for actual or hypothetical projects</w:t>
      </w:r>
      <w:r w:rsidR="003A1CFC">
        <w:rPr>
          <w:color w:val="000000"/>
          <w:szCs w:val="20"/>
          <w:lang w:val="en-DE"/>
        </w:rPr>
        <w:t>, f</w:t>
      </w:r>
      <w:r w:rsidRPr="003B0A13">
        <w:rPr>
          <w:color w:val="000000"/>
          <w:szCs w:val="20"/>
          <w:lang w:val="en-DE"/>
        </w:rPr>
        <w:t>acilitate mentorship sessions to align LogFrame structures and sector-specific objectives effectively.</w:t>
      </w:r>
    </w:p>
    <w:p w14:paraId="2021A96D" w14:textId="7DF3EE85" w:rsidR="003B0A13" w:rsidRPr="003B0A13" w:rsidRDefault="003B0A13" w:rsidP="003A1CFC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Hybrid Certification Assessments:</w:t>
      </w:r>
      <w:r w:rsidR="003A1CFC">
        <w:rPr>
          <w:b/>
          <w:bCs/>
          <w:color w:val="000000"/>
          <w:szCs w:val="20"/>
          <w:lang w:val="en-DE"/>
        </w:rPr>
        <w:t xml:space="preserve"> </w:t>
      </w:r>
      <w:r w:rsidR="003A1CFC">
        <w:rPr>
          <w:color w:val="000000"/>
          <w:szCs w:val="20"/>
          <w:lang w:val="en-DE"/>
        </w:rPr>
        <w:t>c</w:t>
      </w:r>
      <w:r w:rsidRPr="003B0A13">
        <w:rPr>
          <w:color w:val="000000"/>
          <w:szCs w:val="20"/>
          <w:lang w:val="en-DE"/>
        </w:rPr>
        <w:t>onduct written exams, practical project evaluations, and oral presentations in a hybrid format to assess participants comprehensively</w:t>
      </w:r>
      <w:r w:rsidR="003A1CFC">
        <w:rPr>
          <w:color w:val="000000"/>
          <w:szCs w:val="20"/>
          <w:lang w:val="en-DE"/>
        </w:rPr>
        <w:t>, r</w:t>
      </w:r>
      <w:r w:rsidRPr="003B0A13">
        <w:rPr>
          <w:color w:val="000000"/>
          <w:szCs w:val="20"/>
          <w:lang w:val="en-DE"/>
        </w:rPr>
        <w:t>ecognize successful candidates with certifications co-developed with international partners.</w:t>
      </w:r>
    </w:p>
    <w:p w14:paraId="72241E0B" w14:textId="5133E92A" w:rsidR="003B0A13" w:rsidRPr="003B0A13" w:rsidRDefault="003B0A13" w:rsidP="003A1CFC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Digital Platform Integration:</w:t>
      </w:r>
      <w:r w:rsidR="003A1CFC">
        <w:rPr>
          <w:b/>
          <w:bCs/>
          <w:color w:val="000000"/>
          <w:szCs w:val="20"/>
          <w:lang w:val="en-DE"/>
        </w:rPr>
        <w:t xml:space="preserve"> </w:t>
      </w:r>
      <w:r w:rsidR="003A1CFC">
        <w:rPr>
          <w:color w:val="000000"/>
          <w:szCs w:val="20"/>
          <w:lang w:val="en-DE"/>
        </w:rPr>
        <w:t>e</w:t>
      </w:r>
      <w:r w:rsidRPr="003B0A13">
        <w:rPr>
          <w:color w:val="000000"/>
          <w:szCs w:val="20"/>
          <w:lang w:val="en-DE"/>
        </w:rPr>
        <w:t>stablish a digital peer-learning platform to provide access to training materials, templates, and interactive collaboration tools, ensuring continuity in professional development.</w:t>
      </w:r>
    </w:p>
    <w:p w14:paraId="428FE01C" w14:textId="3D941C01" w:rsidR="003B0A13" w:rsidRPr="003B0A13" w:rsidRDefault="003B0A13" w:rsidP="003A1CFC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Partnership Engagement:</w:t>
      </w:r>
      <w:r w:rsidR="003A1CFC">
        <w:rPr>
          <w:color w:val="000000"/>
          <w:szCs w:val="20"/>
          <w:lang w:val="en-DE"/>
        </w:rPr>
        <w:t xml:space="preserve">c </w:t>
      </w:r>
      <w:r w:rsidRPr="003B0A13">
        <w:rPr>
          <w:color w:val="000000"/>
          <w:szCs w:val="20"/>
          <w:lang w:val="en-DE"/>
        </w:rPr>
        <w:t>ollaborate with international organizations and donors for co-certification, resource sharing, and quality assurance.</w:t>
      </w:r>
    </w:p>
    <w:p w14:paraId="3D9DE1CB" w14:textId="37966AB5" w:rsidR="003B0A13" w:rsidRPr="003A1CFC" w:rsidRDefault="003B0A13" w:rsidP="003B0A13">
      <w:pPr>
        <w:spacing w:before="100" w:beforeAutospacing="1" w:after="100" w:afterAutospacing="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Expected Outcomes:</w:t>
      </w:r>
      <w:r w:rsidR="003A1CFC">
        <w:rPr>
          <w:color w:val="000000"/>
          <w:szCs w:val="20"/>
          <w:lang w:val="en-DE"/>
        </w:rPr>
        <w:t>c</w:t>
      </w:r>
      <w:r w:rsidRPr="003B0A13">
        <w:rPr>
          <w:color w:val="000000"/>
          <w:szCs w:val="20"/>
          <w:lang w:val="en-DE"/>
        </w:rPr>
        <w:t xml:space="preserve">Certification of </w:t>
      </w:r>
      <w:r w:rsidRPr="003B0A13">
        <w:rPr>
          <w:color w:val="000000"/>
          <w:szCs w:val="20"/>
          <w:lang w:val="en-DE"/>
        </w:rPr>
        <w:t>at least 1</w:t>
      </w:r>
      <w:r w:rsidRPr="003B0A13">
        <w:rPr>
          <w:color w:val="000000"/>
          <w:szCs w:val="20"/>
          <w:lang w:val="en-DE"/>
        </w:rPr>
        <w:t>0 government staff as M&amp;E experts</w:t>
      </w:r>
      <w:r w:rsidR="003A1CFC">
        <w:rPr>
          <w:color w:val="000000"/>
          <w:szCs w:val="20"/>
          <w:lang w:val="en-DE"/>
        </w:rPr>
        <w:t>, d</w:t>
      </w:r>
      <w:r w:rsidRPr="003B0A13">
        <w:rPr>
          <w:color w:val="000000"/>
          <w:szCs w:val="20"/>
          <w:lang w:val="en-DE"/>
        </w:rPr>
        <w:t>evelopment of three model M&amp;E frameworks tailored to national priorities</w:t>
      </w:r>
      <w:r w:rsidR="003A1CFC">
        <w:rPr>
          <w:color w:val="000000"/>
          <w:szCs w:val="20"/>
          <w:lang w:val="en-DE"/>
        </w:rPr>
        <w:t>, l</w:t>
      </w:r>
      <w:r w:rsidRPr="003B0A13">
        <w:rPr>
          <w:color w:val="000000"/>
          <w:szCs w:val="20"/>
          <w:lang w:val="en-DE"/>
        </w:rPr>
        <w:t>aunch of an interactive digital peer-learning platform</w:t>
      </w:r>
      <w:r w:rsidR="003A1CFC">
        <w:rPr>
          <w:color w:val="000000"/>
          <w:szCs w:val="20"/>
          <w:lang w:val="en-DE"/>
        </w:rPr>
        <w:t>, e</w:t>
      </w:r>
      <w:r w:rsidRPr="003B0A13">
        <w:rPr>
          <w:color w:val="000000"/>
          <w:szCs w:val="20"/>
          <w:lang w:val="en-DE"/>
        </w:rPr>
        <w:t>stablishment of partnerships with international organizations for sustained capacity building.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A1CFC" w14:paraId="2725A98E" w14:textId="77777777" w:rsidTr="00EB7379">
        <w:tc>
          <w:tcPr>
            <w:tcW w:w="9016" w:type="dxa"/>
            <w:gridSpan w:val="4"/>
          </w:tcPr>
          <w:p w14:paraId="40D42F41" w14:textId="65DC3AA6" w:rsidR="003A1CFC" w:rsidRDefault="003A1CFC" w:rsidP="003A1CFC">
            <w:pPr>
              <w:spacing w:before="100" w:beforeAutospacing="1" w:after="100" w:afterAutospacing="1"/>
              <w:jc w:val="center"/>
              <w:rPr>
                <w:color w:val="000000"/>
                <w:szCs w:val="20"/>
                <w:lang w:val="en-DE"/>
              </w:rPr>
            </w:pPr>
            <w:r w:rsidRPr="003B0A13">
              <w:rPr>
                <w:b/>
                <w:bCs/>
                <w:color w:val="000000"/>
                <w:szCs w:val="20"/>
                <w:lang w:val="en-DE"/>
              </w:rPr>
              <w:t>Timeline for 2025</w:t>
            </w:r>
          </w:p>
        </w:tc>
      </w:tr>
      <w:tr w:rsidR="003A1CFC" w14:paraId="11CDBDEA" w14:textId="77777777" w:rsidTr="00B0762B">
        <w:tc>
          <w:tcPr>
            <w:tcW w:w="2254" w:type="dxa"/>
          </w:tcPr>
          <w:p w14:paraId="681DAE13" w14:textId="605E6108" w:rsidR="003A1CFC" w:rsidRDefault="003A1CFC" w:rsidP="003A1CFC">
            <w:pPr>
              <w:spacing w:before="100" w:beforeAutospacing="1" w:after="100" w:afterAutospacing="1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January – March</w:t>
            </w:r>
          </w:p>
        </w:tc>
        <w:tc>
          <w:tcPr>
            <w:tcW w:w="2254" w:type="dxa"/>
          </w:tcPr>
          <w:p w14:paraId="55AC0EA7" w14:textId="5F90B5A1" w:rsidR="003A1CFC" w:rsidRDefault="003A1CFC" w:rsidP="003A1CFC">
            <w:pPr>
              <w:spacing w:before="100" w:beforeAutospacing="1" w:after="100" w:afterAutospacing="1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April – June</w:t>
            </w:r>
          </w:p>
        </w:tc>
        <w:tc>
          <w:tcPr>
            <w:tcW w:w="2254" w:type="dxa"/>
          </w:tcPr>
          <w:p w14:paraId="44BB1142" w14:textId="63EC8F1F" w:rsidR="003A1CFC" w:rsidRDefault="003A1CFC" w:rsidP="003A1CFC">
            <w:pPr>
              <w:spacing w:before="100" w:beforeAutospacing="1" w:after="100" w:afterAutospacing="1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July – October</w:t>
            </w:r>
          </w:p>
        </w:tc>
        <w:tc>
          <w:tcPr>
            <w:tcW w:w="2254" w:type="dxa"/>
            <w:vAlign w:val="center"/>
          </w:tcPr>
          <w:p w14:paraId="5791DCBA" w14:textId="3D66A235" w:rsidR="003A1CFC" w:rsidRDefault="003A1CFC" w:rsidP="003A1CFC">
            <w:pPr>
              <w:spacing w:before="100" w:beforeAutospacing="1" w:after="100" w:afterAutospacing="1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November</w:t>
            </w:r>
            <w:r>
              <w:rPr>
                <w:color w:val="000000"/>
                <w:szCs w:val="20"/>
                <w:lang w:val="en-DE"/>
              </w:rPr>
              <w:t>-December</w:t>
            </w:r>
          </w:p>
        </w:tc>
      </w:tr>
      <w:tr w:rsidR="003A1CFC" w14:paraId="6F37897C" w14:textId="77777777" w:rsidTr="003A1CFC">
        <w:tc>
          <w:tcPr>
            <w:tcW w:w="2254" w:type="dxa"/>
          </w:tcPr>
          <w:p w14:paraId="1CFB7487" w14:textId="3EE0166E" w:rsidR="003A1CFC" w:rsidRDefault="003A1CFC" w:rsidP="003A1CFC">
            <w:pPr>
              <w:spacing w:before="100" w:beforeAutospacing="1" w:after="100" w:afterAutospacing="1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Needs assessment and curriculum design</w:t>
            </w:r>
            <w:r>
              <w:rPr>
                <w:color w:val="000000"/>
                <w:szCs w:val="20"/>
                <w:lang w:val="en-DE"/>
              </w:rPr>
              <w:t>, start of online trainig</w:t>
            </w:r>
          </w:p>
        </w:tc>
        <w:tc>
          <w:tcPr>
            <w:tcW w:w="2254" w:type="dxa"/>
          </w:tcPr>
          <w:p w14:paraId="75B2338F" w14:textId="5385918C" w:rsidR="003A1CFC" w:rsidRDefault="003A1CFC" w:rsidP="003A1CFC">
            <w:pPr>
              <w:spacing w:before="100" w:beforeAutospacing="1" w:after="100" w:afterAutospacing="1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Delivery of foundational workshops</w:t>
            </w:r>
            <w:r>
              <w:rPr>
                <w:color w:val="000000"/>
                <w:szCs w:val="20"/>
                <w:lang w:val="en-DE"/>
              </w:rPr>
              <w:t>, p</w:t>
            </w:r>
            <w:r w:rsidRPr="003B0A13">
              <w:rPr>
                <w:color w:val="000000"/>
                <w:szCs w:val="20"/>
                <w:lang w:val="en-DE"/>
              </w:rPr>
              <w:t>roject development</w:t>
            </w:r>
          </w:p>
        </w:tc>
        <w:tc>
          <w:tcPr>
            <w:tcW w:w="2254" w:type="dxa"/>
          </w:tcPr>
          <w:p w14:paraId="5070F0F4" w14:textId="0629BF81" w:rsidR="003A1CFC" w:rsidRDefault="003A1CFC" w:rsidP="003A1CFC">
            <w:pPr>
              <w:spacing w:before="100" w:beforeAutospacing="1" w:after="100" w:afterAutospacing="1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Certification assessments and award ceremony</w:t>
            </w:r>
          </w:p>
        </w:tc>
        <w:tc>
          <w:tcPr>
            <w:tcW w:w="2254" w:type="dxa"/>
          </w:tcPr>
          <w:p w14:paraId="17D8B229" w14:textId="4BAF64AD" w:rsidR="003A1CFC" w:rsidRDefault="003A1CFC" w:rsidP="003A1CFC">
            <w:pPr>
              <w:spacing w:before="100" w:beforeAutospacing="1" w:after="100" w:afterAutospacing="1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Platform operational and evaluation report</w:t>
            </w:r>
          </w:p>
        </w:tc>
      </w:tr>
    </w:tbl>
    <w:p w14:paraId="3488233A" w14:textId="77777777" w:rsidR="003A1CFC" w:rsidRPr="003B0A13" w:rsidRDefault="003A1CFC" w:rsidP="003B0A13">
      <w:pPr>
        <w:spacing w:before="100" w:beforeAutospacing="1" w:after="100" w:afterAutospacing="1"/>
        <w:rPr>
          <w:color w:val="000000"/>
          <w:szCs w:val="20"/>
          <w:lang w:val="en-DE"/>
        </w:rPr>
      </w:pPr>
    </w:p>
    <w:p w14:paraId="277F755E" w14:textId="2D08FE44" w:rsidR="003B0A13" w:rsidRPr="003B0A13" w:rsidRDefault="003B0A13" w:rsidP="003B0A13">
      <w:pPr>
        <w:spacing w:before="100" w:beforeAutospacing="1" w:after="100" w:afterAutospacing="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lastRenderedPageBreak/>
        <w:t>Contribution to National Objectives:</w:t>
      </w:r>
      <w:r w:rsidR="003A1CFC">
        <w:rPr>
          <w:color w:val="000000"/>
          <w:szCs w:val="20"/>
          <w:lang w:val="en-DE"/>
        </w:rPr>
        <w:t xml:space="preserve"> </w:t>
      </w:r>
      <w:r w:rsidRPr="003B0A13">
        <w:rPr>
          <w:color w:val="000000"/>
          <w:szCs w:val="20"/>
          <w:lang w:val="en-DE"/>
        </w:rPr>
        <w:t>This program directly supports the National Development Strategy 2030 by strengthening institutional capacities in M&amp;E, fostering data-driven policy reforms, and enhancing Tajikistan’s ability to meet international donor requirements. By certifying government staff, it ensures that these professionals can contribute effectively to the education and labour sectors.</w:t>
      </w:r>
    </w:p>
    <w:p w14:paraId="5FC655B6" w14:textId="5D1C327D" w:rsidR="003B0A13" w:rsidRDefault="003B0A13" w:rsidP="003B0A13">
      <w:pPr>
        <w:spacing w:before="100" w:beforeAutospacing="1" w:after="100" w:afterAutospacing="1"/>
        <w:rPr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Sustainability:</w:t>
      </w:r>
      <w:r w:rsidR="003A1CFC">
        <w:rPr>
          <w:color w:val="000000"/>
          <w:szCs w:val="20"/>
          <w:lang w:val="en-DE"/>
        </w:rPr>
        <w:t xml:space="preserve"> </w:t>
      </w:r>
      <w:r w:rsidRPr="003B0A13">
        <w:rPr>
          <w:color w:val="000000"/>
          <w:szCs w:val="20"/>
          <w:lang w:val="en-DE"/>
        </w:rPr>
        <w:t>Certified participants will act as resource persons for future training cohorts, establishing a multiplier effect. The digital platform will sustain continuous learning and facilitate ongoing collaboration among M&amp;E professionals.</w:t>
      </w:r>
    </w:p>
    <w:p w14:paraId="3606B207" w14:textId="6CF3C3D4" w:rsidR="003A1CFC" w:rsidRPr="003B0A13" w:rsidRDefault="003A1CFC" w:rsidP="003B0A13">
      <w:pPr>
        <w:spacing w:before="100" w:beforeAutospacing="1" w:after="100" w:afterAutospacing="1"/>
        <w:rPr>
          <w:color w:val="000000"/>
          <w:szCs w:val="20"/>
          <w:lang w:val="en-DE"/>
        </w:rPr>
      </w:pPr>
      <w:r w:rsidRPr="0075080B">
        <w:rPr>
          <w:b/>
          <w:bCs/>
          <w:color w:val="000000"/>
          <w:szCs w:val="20"/>
          <w:lang w:val="en-DE"/>
        </w:rPr>
        <w:t>Contact</w:t>
      </w:r>
      <w:r w:rsidRPr="0075080B">
        <w:rPr>
          <w:color w:val="000000"/>
          <w:szCs w:val="20"/>
          <w:lang w:val="en-DE"/>
        </w:rPr>
        <w:t xml:space="preserve">: </w:t>
      </w:r>
      <w:r>
        <w:rPr>
          <w:color w:val="000000"/>
          <w:szCs w:val="20"/>
          <w:lang w:val="en-DE"/>
        </w:rPr>
        <w:t xml:space="preserve">Nigora Lashkariva, </w:t>
      </w:r>
      <w:r w:rsidRPr="003A1CFC">
        <w:rPr>
          <w:color w:val="000000"/>
          <w:szCs w:val="20"/>
          <w:lang w:val="en-DE"/>
        </w:rPr>
        <w:t>nigora.lashkarova@eductrade.com</w:t>
      </w:r>
    </w:p>
    <w:p w14:paraId="618E3EFB" w14:textId="6684BF5E" w:rsidR="003B0A13" w:rsidRPr="003B0A13" w:rsidRDefault="003B0A13" w:rsidP="003A1CFC">
      <w:pPr>
        <w:spacing w:before="100" w:beforeAutospacing="1" w:after="100" w:afterAutospacing="1"/>
        <w:outlineLvl w:val="2"/>
        <w:rPr>
          <w:b/>
          <w:bCs/>
          <w:color w:val="000000"/>
          <w:szCs w:val="20"/>
          <w:lang w:val="en-DE"/>
        </w:rPr>
      </w:pPr>
      <w:r w:rsidRPr="003B0A13">
        <w:rPr>
          <w:b/>
          <w:bCs/>
          <w:color w:val="000000"/>
          <w:szCs w:val="20"/>
          <w:lang w:val="en-DE"/>
        </w:rPr>
        <w:t>Logical Framework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597"/>
        <w:gridCol w:w="1558"/>
        <w:gridCol w:w="1354"/>
        <w:gridCol w:w="1511"/>
        <w:gridCol w:w="1409"/>
        <w:gridCol w:w="1587"/>
      </w:tblGrid>
      <w:tr w:rsidR="003A1CFC" w:rsidRPr="003B0A13" w14:paraId="5E4381D2" w14:textId="77777777" w:rsidTr="003B0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130E7C" w14:textId="77777777" w:rsidR="003B0A13" w:rsidRPr="003B0A13" w:rsidRDefault="003B0A13" w:rsidP="003B0A13">
            <w:pPr>
              <w:jc w:val="center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Intervention Logic</w:t>
            </w:r>
          </w:p>
        </w:tc>
        <w:tc>
          <w:tcPr>
            <w:tcW w:w="0" w:type="auto"/>
            <w:hideMark/>
          </w:tcPr>
          <w:p w14:paraId="5B1F62B8" w14:textId="77777777" w:rsidR="003B0A13" w:rsidRPr="003B0A13" w:rsidRDefault="003B0A13" w:rsidP="003B0A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Indicators</w:t>
            </w:r>
          </w:p>
        </w:tc>
        <w:tc>
          <w:tcPr>
            <w:tcW w:w="0" w:type="auto"/>
            <w:hideMark/>
          </w:tcPr>
          <w:p w14:paraId="5E1B051C" w14:textId="77777777" w:rsidR="003B0A13" w:rsidRPr="003B0A13" w:rsidRDefault="003B0A13" w:rsidP="003B0A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Baseline</w:t>
            </w:r>
          </w:p>
        </w:tc>
        <w:tc>
          <w:tcPr>
            <w:tcW w:w="0" w:type="auto"/>
            <w:hideMark/>
          </w:tcPr>
          <w:p w14:paraId="4D9FDBF6" w14:textId="77777777" w:rsidR="003B0A13" w:rsidRPr="003B0A13" w:rsidRDefault="003B0A13" w:rsidP="003B0A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Target</w:t>
            </w:r>
          </w:p>
        </w:tc>
        <w:tc>
          <w:tcPr>
            <w:tcW w:w="0" w:type="auto"/>
            <w:hideMark/>
          </w:tcPr>
          <w:p w14:paraId="08C64F93" w14:textId="77777777" w:rsidR="003B0A13" w:rsidRPr="003B0A13" w:rsidRDefault="003B0A13" w:rsidP="003B0A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Sources of Verification</w:t>
            </w:r>
          </w:p>
        </w:tc>
        <w:tc>
          <w:tcPr>
            <w:tcW w:w="0" w:type="auto"/>
            <w:hideMark/>
          </w:tcPr>
          <w:p w14:paraId="3AE780C3" w14:textId="77777777" w:rsidR="003B0A13" w:rsidRPr="003B0A13" w:rsidRDefault="003B0A13" w:rsidP="003B0A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  <w:lang w:val="en-DE"/>
              </w:rPr>
            </w:pPr>
            <w:r w:rsidRPr="003B0A13">
              <w:rPr>
                <w:color w:val="000000"/>
                <w:szCs w:val="20"/>
                <w:lang w:val="en-DE"/>
              </w:rPr>
              <w:t>Assumptions</w:t>
            </w:r>
          </w:p>
        </w:tc>
      </w:tr>
      <w:tr w:rsidR="003A1CFC" w:rsidRPr="003B0A13" w14:paraId="2BFACBDB" w14:textId="77777777" w:rsidTr="003B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D82BFB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Overall Objective: To strengthen Tajikistan’s capacity to monitor and evaluate projects in the education and labour sectors effectively.</w:t>
            </w:r>
          </w:p>
        </w:tc>
        <w:tc>
          <w:tcPr>
            <w:tcW w:w="0" w:type="auto"/>
            <w:hideMark/>
          </w:tcPr>
          <w:p w14:paraId="261C1C18" w14:textId="2A10CEDF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Improved quality of M&amp;E practices in national projects.</w:t>
            </w:r>
          </w:p>
        </w:tc>
        <w:tc>
          <w:tcPr>
            <w:tcW w:w="0" w:type="auto"/>
            <w:hideMark/>
          </w:tcPr>
          <w:p w14:paraId="1F6E8B61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Limited alignment with international standards.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Low application of data-driven decisions.</w:t>
            </w:r>
          </w:p>
        </w:tc>
        <w:tc>
          <w:tcPr>
            <w:tcW w:w="0" w:type="auto"/>
            <w:hideMark/>
          </w:tcPr>
          <w:p w14:paraId="6EE5C6BA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At least 70% of projects evaluated using certified frameworks.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Increased alignment with international standards.</w:t>
            </w:r>
          </w:p>
        </w:tc>
        <w:tc>
          <w:tcPr>
            <w:tcW w:w="0" w:type="auto"/>
            <w:hideMark/>
          </w:tcPr>
          <w:p w14:paraId="0005BA25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Reports from MoES and MoLME; feedback from donors; independent evaluations.</w:t>
            </w:r>
          </w:p>
        </w:tc>
        <w:tc>
          <w:tcPr>
            <w:tcW w:w="0" w:type="auto"/>
            <w:hideMark/>
          </w:tcPr>
          <w:p w14:paraId="76C2D88F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Continued government commitment to improving M&amp;E systems.</w:t>
            </w:r>
          </w:p>
        </w:tc>
      </w:tr>
      <w:tr w:rsidR="003B0A13" w:rsidRPr="003B0A13" w14:paraId="41771C04" w14:textId="77777777" w:rsidTr="003B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6B5305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Specific Objective: To certify 30 government staff from MoES, MoLME, and related institutions as M&amp;E professionals by the end of 2025.</w:t>
            </w:r>
          </w:p>
        </w:tc>
        <w:tc>
          <w:tcPr>
            <w:tcW w:w="0" w:type="auto"/>
            <w:hideMark/>
          </w:tcPr>
          <w:p w14:paraId="635CC513" w14:textId="0C26DA43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 xml:space="preserve">- Number of staff certified (target: </w:t>
            </w:r>
            <w:r w:rsidRPr="003A1CFC">
              <w:rPr>
                <w:color w:val="000000"/>
                <w:sz w:val="18"/>
                <w:szCs w:val="18"/>
                <w:lang w:val="en-DE"/>
              </w:rPr>
              <w:t>1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t>0).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- At least 2 M&amp;E frameworks developed and applied.</w:t>
            </w:r>
          </w:p>
        </w:tc>
        <w:tc>
          <w:tcPr>
            <w:tcW w:w="0" w:type="auto"/>
            <w:hideMark/>
          </w:tcPr>
          <w:p w14:paraId="79015712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staff certified under updated M&amp;E standards.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Inconsistent use of frameworks.</w:t>
            </w:r>
          </w:p>
        </w:tc>
        <w:tc>
          <w:tcPr>
            <w:tcW w:w="0" w:type="auto"/>
            <w:hideMark/>
          </w:tcPr>
          <w:p w14:paraId="43764054" w14:textId="3517B242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A1CFC">
              <w:rPr>
                <w:color w:val="000000"/>
                <w:sz w:val="18"/>
                <w:szCs w:val="18"/>
                <w:lang w:val="en-DE"/>
              </w:rPr>
              <w:t>1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t>0 staff certified.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2 M&amp;E frameworks developed and applied.</w:t>
            </w:r>
          </w:p>
        </w:tc>
        <w:tc>
          <w:tcPr>
            <w:tcW w:w="0" w:type="auto"/>
            <w:hideMark/>
          </w:tcPr>
          <w:p w14:paraId="2A8EBAD9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Certification records; examples of developed frameworks; participant evaluations.</w:t>
            </w:r>
          </w:p>
        </w:tc>
        <w:tc>
          <w:tcPr>
            <w:tcW w:w="0" w:type="auto"/>
            <w:hideMark/>
          </w:tcPr>
          <w:p w14:paraId="40A2D2A0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Adequate participation and engagement of selected staff.</w:t>
            </w:r>
          </w:p>
        </w:tc>
      </w:tr>
      <w:tr w:rsidR="003A1CFC" w:rsidRPr="003B0A13" w14:paraId="65DD4BAA" w14:textId="77777777" w:rsidTr="003B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7AA1C5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Outputs:</w:t>
            </w:r>
          </w:p>
        </w:tc>
        <w:tc>
          <w:tcPr>
            <w:tcW w:w="0" w:type="auto"/>
            <w:hideMark/>
          </w:tcPr>
          <w:p w14:paraId="289CADA7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</w:p>
        </w:tc>
        <w:tc>
          <w:tcPr>
            <w:tcW w:w="0" w:type="auto"/>
            <w:hideMark/>
          </w:tcPr>
          <w:p w14:paraId="1DBEA428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DE"/>
              </w:rPr>
            </w:pPr>
          </w:p>
        </w:tc>
        <w:tc>
          <w:tcPr>
            <w:tcW w:w="0" w:type="auto"/>
            <w:hideMark/>
          </w:tcPr>
          <w:p w14:paraId="35AC46C2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DE"/>
              </w:rPr>
            </w:pPr>
          </w:p>
        </w:tc>
        <w:tc>
          <w:tcPr>
            <w:tcW w:w="0" w:type="auto"/>
            <w:hideMark/>
          </w:tcPr>
          <w:p w14:paraId="2D234B1B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DE"/>
              </w:rPr>
            </w:pPr>
          </w:p>
        </w:tc>
        <w:tc>
          <w:tcPr>
            <w:tcW w:w="0" w:type="auto"/>
            <w:hideMark/>
          </w:tcPr>
          <w:p w14:paraId="3E05215A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DE"/>
              </w:rPr>
            </w:pPr>
          </w:p>
        </w:tc>
      </w:tr>
      <w:tr w:rsidR="003B0A13" w:rsidRPr="003B0A13" w14:paraId="713DB1EB" w14:textId="77777777" w:rsidTr="003B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ACAE05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1. Needs assessment conducted and curriculum finalized.</w:t>
            </w:r>
          </w:p>
        </w:tc>
        <w:tc>
          <w:tcPr>
            <w:tcW w:w="0" w:type="auto"/>
            <w:hideMark/>
          </w:tcPr>
          <w:p w14:paraId="7C9CD9EB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- Needs assessment report completed by March 2025.</w:t>
            </w:r>
          </w:p>
        </w:tc>
        <w:tc>
          <w:tcPr>
            <w:tcW w:w="0" w:type="auto"/>
            <w:hideMark/>
          </w:tcPr>
          <w:p w14:paraId="2860FFFD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assessment conducted.</w:t>
            </w:r>
          </w:p>
        </w:tc>
        <w:tc>
          <w:tcPr>
            <w:tcW w:w="0" w:type="auto"/>
            <w:hideMark/>
          </w:tcPr>
          <w:p w14:paraId="2C494AE1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1 report completed.</w:t>
            </w:r>
          </w:p>
        </w:tc>
        <w:tc>
          <w:tcPr>
            <w:tcW w:w="0" w:type="auto"/>
            <w:hideMark/>
          </w:tcPr>
          <w:p w14:paraId="12CA5589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Needs assessment report.</w:t>
            </w:r>
          </w:p>
        </w:tc>
        <w:tc>
          <w:tcPr>
            <w:tcW w:w="0" w:type="auto"/>
            <w:hideMark/>
          </w:tcPr>
          <w:p w14:paraId="77401A4B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Stakeholders actively participate in needs assessment and curriculum review.</w:t>
            </w:r>
          </w:p>
        </w:tc>
      </w:tr>
      <w:tr w:rsidR="003A1CFC" w:rsidRPr="003B0A13" w14:paraId="470F9C35" w14:textId="77777777" w:rsidTr="003B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DF7C2E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2. Curriculum and training materials developed.</w:t>
            </w:r>
          </w:p>
        </w:tc>
        <w:tc>
          <w:tcPr>
            <w:tcW w:w="0" w:type="auto"/>
            <w:hideMark/>
          </w:tcPr>
          <w:p w14:paraId="26ABDBA3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- Comprehensive curriculum approved by stakeholders by March 2025.</w:t>
            </w:r>
          </w:p>
        </w:tc>
        <w:tc>
          <w:tcPr>
            <w:tcW w:w="0" w:type="auto"/>
            <w:hideMark/>
          </w:tcPr>
          <w:p w14:paraId="2A15B769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curriculum tailored for M&amp;E certification.</w:t>
            </w:r>
          </w:p>
        </w:tc>
        <w:tc>
          <w:tcPr>
            <w:tcW w:w="0" w:type="auto"/>
            <w:hideMark/>
          </w:tcPr>
          <w:p w14:paraId="1E29FDA8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1 comprehensive curriculum approved.</w:t>
            </w:r>
          </w:p>
        </w:tc>
        <w:tc>
          <w:tcPr>
            <w:tcW w:w="0" w:type="auto"/>
            <w:hideMark/>
          </w:tcPr>
          <w:p w14:paraId="4BF4C696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Approved curriculum document.</w:t>
            </w:r>
          </w:p>
        </w:tc>
        <w:tc>
          <w:tcPr>
            <w:tcW w:w="0" w:type="auto"/>
            <w:hideMark/>
          </w:tcPr>
          <w:p w14:paraId="087336F2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Stakeholders provide timely input and validation of curriculum.</w:t>
            </w:r>
          </w:p>
        </w:tc>
      </w:tr>
      <w:tr w:rsidR="003B0A13" w:rsidRPr="003B0A13" w14:paraId="61E3D99D" w14:textId="77777777" w:rsidTr="003B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E8833B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3. Three workshops delivered.</w:t>
            </w:r>
          </w:p>
        </w:tc>
        <w:tc>
          <w:tcPr>
            <w:tcW w:w="0" w:type="auto"/>
            <w:hideMark/>
          </w:tcPr>
          <w:p w14:paraId="3EFF5071" w14:textId="3507E634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 xml:space="preserve">- Number of participants attending workshops (target: </w:t>
            </w:r>
            <w:r w:rsidRPr="003A1CFC">
              <w:rPr>
                <w:color w:val="000000"/>
                <w:sz w:val="18"/>
                <w:szCs w:val="18"/>
                <w:lang w:val="en-DE"/>
              </w:rPr>
              <w:t>15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t>).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- 80% of participants rate workshops as useful and relevant.</w:t>
            </w:r>
          </w:p>
        </w:tc>
        <w:tc>
          <w:tcPr>
            <w:tcW w:w="0" w:type="auto"/>
            <w:hideMark/>
          </w:tcPr>
          <w:p w14:paraId="63BDC901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workshops conducted.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No feedback data.</w:t>
            </w:r>
          </w:p>
        </w:tc>
        <w:tc>
          <w:tcPr>
            <w:tcW w:w="0" w:type="auto"/>
            <w:hideMark/>
          </w:tcPr>
          <w:p w14:paraId="02D50FEC" w14:textId="1FC8F752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A1CFC">
              <w:rPr>
                <w:color w:val="000000"/>
                <w:sz w:val="18"/>
                <w:szCs w:val="18"/>
                <w:lang w:val="en-DE"/>
              </w:rPr>
              <w:t>15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t xml:space="preserve"> participants trained.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80% positive feedback from participants.</w:t>
            </w:r>
          </w:p>
        </w:tc>
        <w:tc>
          <w:tcPr>
            <w:tcW w:w="0" w:type="auto"/>
            <w:hideMark/>
          </w:tcPr>
          <w:p w14:paraId="42D07B12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Attendance sheets; post-workshop evaluations.</w:t>
            </w:r>
          </w:p>
        </w:tc>
        <w:tc>
          <w:tcPr>
            <w:tcW w:w="0" w:type="auto"/>
            <w:hideMark/>
          </w:tcPr>
          <w:p w14:paraId="530E2D11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Participants actively engage in workshops and complete assignments.</w:t>
            </w:r>
          </w:p>
        </w:tc>
      </w:tr>
      <w:tr w:rsidR="003A1CFC" w:rsidRPr="003B0A13" w14:paraId="664DE06F" w14:textId="77777777" w:rsidTr="003B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204036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lastRenderedPageBreak/>
              <w:t>4. Online training modules delivered.</w:t>
            </w:r>
          </w:p>
        </w:tc>
        <w:tc>
          <w:tcPr>
            <w:tcW w:w="0" w:type="auto"/>
            <w:hideMark/>
          </w:tcPr>
          <w:p w14:paraId="594C5233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- Completion rate for online training modules (target: 90%).</w:t>
            </w:r>
          </w:p>
        </w:tc>
        <w:tc>
          <w:tcPr>
            <w:tcW w:w="0" w:type="auto"/>
            <w:hideMark/>
          </w:tcPr>
          <w:p w14:paraId="5FFA4EA9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online modules available.</w:t>
            </w:r>
          </w:p>
        </w:tc>
        <w:tc>
          <w:tcPr>
            <w:tcW w:w="0" w:type="auto"/>
            <w:hideMark/>
          </w:tcPr>
          <w:p w14:paraId="20A884F6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90% of participants complete modules.</w:t>
            </w:r>
          </w:p>
        </w:tc>
        <w:tc>
          <w:tcPr>
            <w:tcW w:w="0" w:type="auto"/>
            <w:hideMark/>
          </w:tcPr>
          <w:p w14:paraId="7C01837E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Learning platform analytics; completion certificates.</w:t>
            </w:r>
          </w:p>
        </w:tc>
        <w:tc>
          <w:tcPr>
            <w:tcW w:w="0" w:type="auto"/>
            <w:hideMark/>
          </w:tcPr>
          <w:p w14:paraId="611E6677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Participants have access to digital tools and the platform operates without significant technical issues.</w:t>
            </w:r>
          </w:p>
        </w:tc>
      </w:tr>
      <w:tr w:rsidR="003B0A13" w:rsidRPr="003B0A13" w14:paraId="0B901D0E" w14:textId="77777777" w:rsidTr="003B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A7F02B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5. Certification assessments conducted.</w:t>
            </w:r>
          </w:p>
        </w:tc>
        <w:tc>
          <w:tcPr>
            <w:tcW w:w="0" w:type="auto"/>
            <w:hideMark/>
          </w:tcPr>
          <w:p w14:paraId="49B58666" w14:textId="5A16DEA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 xml:space="preserve">- </w:t>
            </w:r>
            <w:r w:rsidRPr="003A1CFC">
              <w:rPr>
                <w:color w:val="000000"/>
                <w:sz w:val="18"/>
                <w:szCs w:val="18"/>
                <w:lang w:val="en-DE"/>
              </w:rPr>
              <w:t xml:space="preserve">12 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t>participants complete assessments (hybrid format).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- 80% of participants pass assessments.</w:t>
            </w:r>
          </w:p>
        </w:tc>
        <w:tc>
          <w:tcPr>
            <w:tcW w:w="0" w:type="auto"/>
            <w:hideMark/>
          </w:tcPr>
          <w:p w14:paraId="53F1DCA8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assessments conducted.</w:t>
            </w:r>
          </w:p>
        </w:tc>
        <w:tc>
          <w:tcPr>
            <w:tcW w:w="0" w:type="auto"/>
            <w:hideMark/>
          </w:tcPr>
          <w:p w14:paraId="00AAFE90" w14:textId="6744EBCC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A1CFC">
              <w:rPr>
                <w:color w:val="000000"/>
                <w:sz w:val="18"/>
                <w:szCs w:val="18"/>
                <w:lang w:val="en-DE"/>
              </w:rPr>
              <w:t>12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t xml:space="preserve"> participants assessed.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80% pass rate.</w:t>
            </w:r>
          </w:p>
        </w:tc>
        <w:tc>
          <w:tcPr>
            <w:tcW w:w="0" w:type="auto"/>
            <w:hideMark/>
          </w:tcPr>
          <w:p w14:paraId="3AF49282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Assessment records; certification results.</w:t>
            </w:r>
          </w:p>
        </w:tc>
        <w:tc>
          <w:tcPr>
            <w:tcW w:w="0" w:type="auto"/>
            <w:hideMark/>
          </w:tcPr>
          <w:p w14:paraId="53A567E8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Assessment tools effectively measure knowledge and practical skills.</w:t>
            </w:r>
          </w:p>
        </w:tc>
      </w:tr>
      <w:tr w:rsidR="003A1CFC" w:rsidRPr="003B0A13" w14:paraId="32A1AC64" w14:textId="77777777" w:rsidTr="003B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B75989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6. Digital peer-learning platform launched.</w:t>
            </w:r>
          </w:p>
        </w:tc>
        <w:tc>
          <w:tcPr>
            <w:tcW w:w="0" w:type="auto"/>
            <w:hideMark/>
          </w:tcPr>
          <w:p w14:paraId="3EF2A021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- Digital platform operational by December 2025.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- At least 20 active users by the end of 2025.</w:t>
            </w:r>
          </w:p>
        </w:tc>
        <w:tc>
          <w:tcPr>
            <w:tcW w:w="0" w:type="auto"/>
            <w:hideMark/>
          </w:tcPr>
          <w:p w14:paraId="7CF5F723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platform exists.</w:t>
            </w:r>
          </w:p>
        </w:tc>
        <w:tc>
          <w:tcPr>
            <w:tcW w:w="0" w:type="auto"/>
            <w:hideMark/>
          </w:tcPr>
          <w:p w14:paraId="0317022A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Platform operational. </w:t>
            </w:r>
            <w:r w:rsidRPr="003B0A13">
              <w:rPr>
                <w:color w:val="000000"/>
                <w:sz w:val="18"/>
                <w:szCs w:val="18"/>
                <w:lang w:val="en-DE"/>
              </w:rPr>
              <w:br/>
              <w:t>20 active users.</w:t>
            </w:r>
          </w:p>
        </w:tc>
        <w:tc>
          <w:tcPr>
            <w:tcW w:w="0" w:type="auto"/>
            <w:hideMark/>
          </w:tcPr>
          <w:p w14:paraId="24BAAFE5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Platform usage logs; participant feedback.</w:t>
            </w:r>
          </w:p>
        </w:tc>
        <w:tc>
          <w:tcPr>
            <w:tcW w:w="0" w:type="auto"/>
            <w:hideMark/>
          </w:tcPr>
          <w:p w14:paraId="28FAA53C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Platform is user-friendly and participants are motivated to engage in peer learning.</w:t>
            </w:r>
          </w:p>
        </w:tc>
      </w:tr>
      <w:tr w:rsidR="003B0A13" w:rsidRPr="003B0A13" w14:paraId="0EFB4434" w14:textId="77777777" w:rsidTr="003B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5F37A4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Activities:</w:t>
            </w:r>
          </w:p>
        </w:tc>
        <w:tc>
          <w:tcPr>
            <w:tcW w:w="0" w:type="auto"/>
            <w:hideMark/>
          </w:tcPr>
          <w:p w14:paraId="02E67B14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</w:p>
        </w:tc>
        <w:tc>
          <w:tcPr>
            <w:tcW w:w="0" w:type="auto"/>
            <w:hideMark/>
          </w:tcPr>
          <w:p w14:paraId="5F0C6257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DE"/>
              </w:rPr>
            </w:pPr>
          </w:p>
        </w:tc>
        <w:tc>
          <w:tcPr>
            <w:tcW w:w="0" w:type="auto"/>
            <w:hideMark/>
          </w:tcPr>
          <w:p w14:paraId="792586A9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DE"/>
              </w:rPr>
            </w:pPr>
          </w:p>
        </w:tc>
        <w:tc>
          <w:tcPr>
            <w:tcW w:w="0" w:type="auto"/>
            <w:hideMark/>
          </w:tcPr>
          <w:p w14:paraId="2FABF72F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DE"/>
              </w:rPr>
            </w:pPr>
          </w:p>
        </w:tc>
        <w:tc>
          <w:tcPr>
            <w:tcW w:w="0" w:type="auto"/>
            <w:hideMark/>
          </w:tcPr>
          <w:p w14:paraId="73368E3A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DE"/>
              </w:rPr>
            </w:pPr>
          </w:p>
        </w:tc>
      </w:tr>
      <w:tr w:rsidR="003A1CFC" w:rsidRPr="003B0A13" w14:paraId="649BB3DB" w14:textId="77777777" w:rsidTr="003B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743F67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1. Conduct stakeholder consultations and needs assessment.</w:t>
            </w:r>
          </w:p>
        </w:tc>
        <w:tc>
          <w:tcPr>
            <w:tcW w:w="0" w:type="auto"/>
            <w:hideMark/>
          </w:tcPr>
          <w:p w14:paraId="7EB13B50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Completion of consultations and report by February 2025.</w:t>
            </w:r>
          </w:p>
        </w:tc>
        <w:tc>
          <w:tcPr>
            <w:tcW w:w="0" w:type="auto"/>
            <w:hideMark/>
          </w:tcPr>
          <w:p w14:paraId="703D77A7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consultations conducted.</w:t>
            </w:r>
          </w:p>
        </w:tc>
        <w:tc>
          <w:tcPr>
            <w:tcW w:w="0" w:type="auto"/>
            <w:hideMark/>
          </w:tcPr>
          <w:p w14:paraId="01242ACC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1 needs assessment report completed.</w:t>
            </w:r>
          </w:p>
        </w:tc>
        <w:tc>
          <w:tcPr>
            <w:tcW w:w="0" w:type="auto"/>
            <w:hideMark/>
          </w:tcPr>
          <w:p w14:paraId="638A8197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Consultation records; assessment report.</w:t>
            </w:r>
          </w:p>
        </w:tc>
        <w:tc>
          <w:tcPr>
            <w:tcW w:w="0" w:type="auto"/>
            <w:hideMark/>
          </w:tcPr>
          <w:p w14:paraId="539A6183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Stakeholders are available and willing to provide input.</w:t>
            </w:r>
          </w:p>
        </w:tc>
      </w:tr>
      <w:tr w:rsidR="003B0A13" w:rsidRPr="003B0A13" w14:paraId="1AE6EBFE" w14:textId="77777777" w:rsidTr="003B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4FCD86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2. Design and finalize curriculum.</w:t>
            </w:r>
          </w:p>
        </w:tc>
        <w:tc>
          <w:tcPr>
            <w:tcW w:w="0" w:type="auto"/>
            <w:hideMark/>
          </w:tcPr>
          <w:p w14:paraId="448C55E9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Approval of curriculum by March 2025.</w:t>
            </w:r>
          </w:p>
        </w:tc>
        <w:tc>
          <w:tcPr>
            <w:tcW w:w="0" w:type="auto"/>
            <w:hideMark/>
          </w:tcPr>
          <w:p w14:paraId="56C8A961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approved curriculum.</w:t>
            </w:r>
          </w:p>
        </w:tc>
        <w:tc>
          <w:tcPr>
            <w:tcW w:w="0" w:type="auto"/>
            <w:hideMark/>
          </w:tcPr>
          <w:p w14:paraId="6B16D0FE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Curriculum approved.</w:t>
            </w:r>
          </w:p>
        </w:tc>
        <w:tc>
          <w:tcPr>
            <w:tcW w:w="0" w:type="auto"/>
            <w:hideMark/>
          </w:tcPr>
          <w:p w14:paraId="655C898C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Meeting minutes; curriculum document.</w:t>
            </w:r>
          </w:p>
        </w:tc>
        <w:tc>
          <w:tcPr>
            <w:tcW w:w="0" w:type="auto"/>
            <w:hideMark/>
          </w:tcPr>
          <w:p w14:paraId="2A15A1A4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Timely collaboration with EU experts and national stakeholders.</w:t>
            </w:r>
          </w:p>
        </w:tc>
      </w:tr>
      <w:tr w:rsidR="003A1CFC" w:rsidRPr="003B0A13" w14:paraId="554DECC5" w14:textId="77777777" w:rsidTr="003B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F839D4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3. Organize three in-person workshops.</w:t>
            </w:r>
          </w:p>
        </w:tc>
        <w:tc>
          <w:tcPr>
            <w:tcW w:w="0" w:type="auto"/>
            <w:hideMark/>
          </w:tcPr>
          <w:p w14:paraId="78CF4996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Workshops delivered from April to June 2025.</w:t>
            </w:r>
          </w:p>
        </w:tc>
        <w:tc>
          <w:tcPr>
            <w:tcW w:w="0" w:type="auto"/>
            <w:hideMark/>
          </w:tcPr>
          <w:p w14:paraId="4346FBF3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workshops delivered.</w:t>
            </w:r>
          </w:p>
        </w:tc>
        <w:tc>
          <w:tcPr>
            <w:tcW w:w="0" w:type="auto"/>
            <w:hideMark/>
          </w:tcPr>
          <w:p w14:paraId="153C67E1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3 workshops delivered.</w:t>
            </w:r>
          </w:p>
        </w:tc>
        <w:tc>
          <w:tcPr>
            <w:tcW w:w="0" w:type="auto"/>
            <w:hideMark/>
          </w:tcPr>
          <w:p w14:paraId="4969EAF8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Workshop reports; attendance lists.</w:t>
            </w:r>
          </w:p>
        </w:tc>
        <w:tc>
          <w:tcPr>
            <w:tcW w:w="0" w:type="auto"/>
            <w:hideMark/>
          </w:tcPr>
          <w:p w14:paraId="7F6809D3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Participants are able to attend in person.</w:t>
            </w:r>
          </w:p>
        </w:tc>
      </w:tr>
      <w:tr w:rsidR="003B0A13" w:rsidRPr="003B0A13" w14:paraId="476DD538" w14:textId="77777777" w:rsidTr="003B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812AD8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4. Develop and deliver online training modules.</w:t>
            </w:r>
          </w:p>
        </w:tc>
        <w:tc>
          <w:tcPr>
            <w:tcW w:w="0" w:type="auto"/>
            <w:hideMark/>
          </w:tcPr>
          <w:p w14:paraId="5B555BD0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Modules available by July 2025.</w:t>
            </w:r>
          </w:p>
        </w:tc>
        <w:tc>
          <w:tcPr>
            <w:tcW w:w="0" w:type="auto"/>
            <w:hideMark/>
          </w:tcPr>
          <w:p w14:paraId="74B00F01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modules available.</w:t>
            </w:r>
          </w:p>
        </w:tc>
        <w:tc>
          <w:tcPr>
            <w:tcW w:w="0" w:type="auto"/>
            <w:hideMark/>
          </w:tcPr>
          <w:p w14:paraId="213C8E67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Modules available.</w:t>
            </w:r>
          </w:p>
        </w:tc>
        <w:tc>
          <w:tcPr>
            <w:tcW w:w="0" w:type="auto"/>
            <w:hideMark/>
          </w:tcPr>
          <w:p w14:paraId="2B2FD49E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Learning platform data; feedback surveys.</w:t>
            </w:r>
          </w:p>
        </w:tc>
        <w:tc>
          <w:tcPr>
            <w:tcW w:w="0" w:type="auto"/>
            <w:hideMark/>
          </w:tcPr>
          <w:p w14:paraId="64FC8B03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Reliable internet access for participants.</w:t>
            </w:r>
          </w:p>
        </w:tc>
      </w:tr>
      <w:tr w:rsidR="003A1CFC" w:rsidRPr="003B0A13" w14:paraId="08781C66" w14:textId="77777777" w:rsidTr="003B0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99AB18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5. Conduct hybrid assessments for certification.</w:t>
            </w:r>
          </w:p>
        </w:tc>
        <w:tc>
          <w:tcPr>
            <w:tcW w:w="0" w:type="auto"/>
            <w:hideMark/>
          </w:tcPr>
          <w:p w14:paraId="3145AB2F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Assessments conducted by November 2025.</w:t>
            </w:r>
          </w:p>
        </w:tc>
        <w:tc>
          <w:tcPr>
            <w:tcW w:w="0" w:type="auto"/>
            <w:hideMark/>
          </w:tcPr>
          <w:p w14:paraId="58C50064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assessments conducted.</w:t>
            </w:r>
          </w:p>
        </w:tc>
        <w:tc>
          <w:tcPr>
            <w:tcW w:w="0" w:type="auto"/>
            <w:hideMark/>
          </w:tcPr>
          <w:p w14:paraId="18ACDFC3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1 round of assessments completed.</w:t>
            </w:r>
          </w:p>
        </w:tc>
        <w:tc>
          <w:tcPr>
            <w:tcW w:w="0" w:type="auto"/>
            <w:hideMark/>
          </w:tcPr>
          <w:p w14:paraId="3B10F0BD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Assessment records; certification results.</w:t>
            </w:r>
          </w:p>
        </w:tc>
        <w:tc>
          <w:tcPr>
            <w:tcW w:w="0" w:type="auto"/>
            <w:hideMark/>
          </w:tcPr>
          <w:p w14:paraId="13F065A5" w14:textId="77777777" w:rsidR="003B0A13" w:rsidRPr="003B0A13" w:rsidRDefault="003B0A13" w:rsidP="003B0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Assessments are effectively managed in both online and in-person formats.</w:t>
            </w:r>
          </w:p>
        </w:tc>
      </w:tr>
      <w:tr w:rsidR="003B0A13" w:rsidRPr="003B0A13" w14:paraId="7F8AA281" w14:textId="77777777" w:rsidTr="003B0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E6240A" w14:textId="77777777" w:rsidR="003B0A13" w:rsidRPr="003B0A13" w:rsidRDefault="003B0A13" w:rsidP="003B0A13">
            <w:pPr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6. Develop and launch digital platform.</w:t>
            </w:r>
          </w:p>
        </w:tc>
        <w:tc>
          <w:tcPr>
            <w:tcW w:w="0" w:type="auto"/>
            <w:hideMark/>
          </w:tcPr>
          <w:p w14:paraId="520142D6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Platform operational by December 2025.</w:t>
            </w:r>
          </w:p>
        </w:tc>
        <w:tc>
          <w:tcPr>
            <w:tcW w:w="0" w:type="auto"/>
            <w:hideMark/>
          </w:tcPr>
          <w:p w14:paraId="156DF638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No platform operational.</w:t>
            </w:r>
          </w:p>
        </w:tc>
        <w:tc>
          <w:tcPr>
            <w:tcW w:w="0" w:type="auto"/>
            <w:hideMark/>
          </w:tcPr>
          <w:p w14:paraId="368B9118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Platform operational by December 2025.</w:t>
            </w:r>
          </w:p>
        </w:tc>
        <w:tc>
          <w:tcPr>
            <w:tcW w:w="0" w:type="auto"/>
            <w:hideMark/>
          </w:tcPr>
          <w:p w14:paraId="234A1BE3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Platform analytics; feedback reports.</w:t>
            </w:r>
          </w:p>
        </w:tc>
        <w:tc>
          <w:tcPr>
            <w:tcW w:w="0" w:type="auto"/>
            <w:hideMark/>
          </w:tcPr>
          <w:p w14:paraId="6D1CA8F5" w14:textId="77777777" w:rsidR="003B0A13" w:rsidRPr="003B0A13" w:rsidRDefault="003B0A13" w:rsidP="003B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DE"/>
              </w:rPr>
            </w:pPr>
            <w:r w:rsidRPr="003B0A13">
              <w:rPr>
                <w:color w:val="000000"/>
                <w:sz w:val="18"/>
                <w:szCs w:val="18"/>
                <w:lang w:val="en-DE"/>
              </w:rPr>
              <w:t>IT and content development teams deliver functionality on schedule.</w:t>
            </w:r>
          </w:p>
        </w:tc>
      </w:tr>
    </w:tbl>
    <w:p w14:paraId="3860FEFD" w14:textId="77777777" w:rsidR="009E36AB" w:rsidRPr="003B0A13" w:rsidRDefault="009E36AB" w:rsidP="003B0A13">
      <w:pPr>
        <w:spacing w:before="100" w:beforeAutospacing="1" w:after="100" w:afterAutospacing="1"/>
        <w:outlineLvl w:val="2"/>
        <w:rPr>
          <w:szCs w:val="20"/>
          <w:lang w:val="en-DE"/>
        </w:rPr>
      </w:pPr>
    </w:p>
    <w:sectPr w:rsidR="009E36AB" w:rsidRPr="003B0A13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8E47" w14:textId="77777777" w:rsidR="0056382A" w:rsidRDefault="0056382A" w:rsidP="003A1CFC">
      <w:r>
        <w:separator/>
      </w:r>
    </w:p>
  </w:endnote>
  <w:endnote w:type="continuationSeparator" w:id="0">
    <w:p w14:paraId="25E29099" w14:textId="77777777" w:rsidR="0056382A" w:rsidRDefault="0056382A" w:rsidP="003A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76175549"/>
      <w:docPartObj>
        <w:docPartGallery w:val="Page Numbers (Bottom of Page)"/>
        <w:docPartUnique/>
      </w:docPartObj>
    </w:sdtPr>
    <w:sdtContent>
      <w:p w14:paraId="554C4B2A" w14:textId="0B21D53D" w:rsidR="003A1CFC" w:rsidRDefault="003A1CFC" w:rsidP="00763D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03A134" w14:textId="77777777" w:rsidR="003A1CFC" w:rsidRDefault="003A1CFC" w:rsidP="003A1C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9284469"/>
      <w:docPartObj>
        <w:docPartGallery w:val="Page Numbers (Bottom of Page)"/>
        <w:docPartUnique/>
      </w:docPartObj>
    </w:sdtPr>
    <w:sdtContent>
      <w:p w14:paraId="4CF43139" w14:textId="057D80E0" w:rsidR="003A1CFC" w:rsidRDefault="003A1CFC" w:rsidP="00763D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A458EC" w14:textId="77777777" w:rsidR="003A1CFC" w:rsidRDefault="003A1CFC" w:rsidP="003A1C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D73B" w14:textId="77777777" w:rsidR="0056382A" w:rsidRDefault="0056382A" w:rsidP="003A1CFC">
      <w:r>
        <w:separator/>
      </w:r>
    </w:p>
  </w:footnote>
  <w:footnote w:type="continuationSeparator" w:id="0">
    <w:p w14:paraId="19CC534F" w14:textId="77777777" w:rsidR="0056382A" w:rsidRDefault="0056382A" w:rsidP="003A1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601"/>
    <w:multiLevelType w:val="multilevel"/>
    <w:tmpl w:val="F614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5B1CE9"/>
    <w:multiLevelType w:val="multilevel"/>
    <w:tmpl w:val="7AE66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0E148E"/>
    <w:multiLevelType w:val="hybridMultilevel"/>
    <w:tmpl w:val="14C4FBF8"/>
    <w:lvl w:ilvl="0" w:tplc="944EF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623"/>
    <w:multiLevelType w:val="multilevel"/>
    <w:tmpl w:val="AE629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E33028"/>
    <w:multiLevelType w:val="multilevel"/>
    <w:tmpl w:val="8F948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0575C82"/>
    <w:multiLevelType w:val="multilevel"/>
    <w:tmpl w:val="56B28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D777779"/>
    <w:multiLevelType w:val="multilevel"/>
    <w:tmpl w:val="690A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C798A"/>
    <w:multiLevelType w:val="multilevel"/>
    <w:tmpl w:val="D2105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935326"/>
    <w:multiLevelType w:val="multilevel"/>
    <w:tmpl w:val="7E6A0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51F7247E"/>
    <w:multiLevelType w:val="multilevel"/>
    <w:tmpl w:val="D880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9EE4116"/>
    <w:multiLevelType w:val="hybridMultilevel"/>
    <w:tmpl w:val="50D21674"/>
    <w:lvl w:ilvl="0" w:tplc="986CEE98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7A4667"/>
    <w:multiLevelType w:val="hybridMultilevel"/>
    <w:tmpl w:val="51FEDC62"/>
    <w:lvl w:ilvl="0" w:tplc="2F6A500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C41D7"/>
    <w:multiLevelType w:val="multilevel"/>
    <w:tmpl w:val="31DE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3F1DDF"/>
    <w:multiLevelType w:val="hybridMultilevel"/>
    <w:tmpl w:val="D8328430"/>
    <w:lvl w:ilvl="0" w:tplc="0B5C3C8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8554">
    <w:abstractNumId w:val="5"/>
  </w:num>
  <w:num w:numId="2" w16cid:durableId="721097167">
    <w:abstractNumId w:val="11"/>
  </w:num>
  <w:num w:numId="3" w16cid:durableId="1471165884">
    <w:abstractNumId w:val="1"/>
  </w:num>
  <w:num w:numId="4" w16cid:durableId="1915431797">
    <w:abstractNumId w:val="5"/>
  </w:num>
  <w:num w:numId="5" w16cid:durableId="1342128616">
    <w:abstractNumId w:val="3"/>
  </w:num>
  <w:num w:numId="6" w16cid:durableId="712387219">
    <w:abstractNumId w:val="9"/>
  </w:num>
  <w:num w:numId="7" w16cid:durableId="1968393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79008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1077896">
    <w:abstractNumId w:val="2"/>
  </w:num>
  <w:num w:numId="10" w16cid:durableId="414980495">
    <w:abstractNumId w:val="2"/>
  </w:num>
  <w:num w:numId="11" w16cid:durableId="1672416664">
    <w:abstractNumId w:val="13"/>
  </w:num>
  <w:num w:numId="12" w16cid:durableId="1789278823">
    <w:abstractNumId w:val="13"/>
  </w:num>
  <w:num w:numId="13" w16cid:durableId="462501198">
    <w:abstractNumId w:val="8"/>
  </w:num>
  <w:num w:numId="14" w16cid:durableId="1194925788">
    <w:abstractNumId w:val="8"/>
  </w:num>
  <w:num w:numId="15" w16cid:durableId="1208688905">
    <w:abstractNumId w:val="4"/>
  </w:num>
  <w:num w:numId="16" w16cid:durableId="1847475997">
    <w:abstractNumId w:val="4"/>
  </w:num>
  <w:num w:numId="17" w16cid:durableId="766458707">
    <w:abstractNumId w:val="4"/>
  </w:num>
  <w:num w:numId="18" w16cid:durableId="803276861">
    <w:abstractNumId w:val="4"/>
  </w:num>
  <w:num w:numId="19" w16cid:durableId="871190740">
    <w:abstractNumId w:val="4"/>
  </w:num>
  <w:num w:numId="20" w16cid:durableId="87818916">
    <w:abstractNumId w:val="2"/>
  </w:num>
  <w:num w:numId="21" w16cid:durableId="465589493">
    <w:abstractNumId w:val="10"/>
  </w:num>
  <w:num w:numId="22" w16cid:durableId="1682466668">
    <w:abstractNumId w:val="13"/>
  </w:num>
  <w:num w:numId="23" w16cid:durableId="355544191">
    <w:abstractNumId w:val="7"/>
  </w:num>
  <w:num w:numId="24" w16cid:durableId="852262562">
    <w:abstractNumId w:val="0"/>
  </w:num>
  <w:num w:numId="25" w16cid:durableId="1390304214">
    <w:abstractNumId w:val="0"/>
  </w:num>
  <w:num w:numId="26" w16cid:durableId="1553037237">
    <w:abstractNumId w:val="12"/>
  </w:num>
  <w:num w:numId="27" w16cid:durableId="2048292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13"/>
    <w:rsid w:val="00247344"/>
    <w:rsid w:val="0029794F"/>
    <w:rsid w:val="002D5781"/>
    <w:rsid w:val="003A1CFC"/>
    <w:rsid w:val="003B0A13"/>
    <w:rsid w:val="00474D9C"/>
    <w:rsid w:val="004B0688"/>
    <w:rsid w:val="0056382A"/>
    <w:rsid w:val="005E22E7"/>
    <w:rsid w:val="005E2881"/>
    <w:rsid w:val="005E29D3"/>
    <w:rsid w:val="005F01EB"/>
    <w:rsid w:val="0066305E"/>
    <w:rsid w:val="00665389"/>
    <w:rsid w:val="006B233C"/>
    <w:rsid w:val="006C1619"/>
    <w:rsid w:val="006D2860"/>
    <w:rsid w:val="00714FF9"/>
    <w:rsid w:val="007C562F"/>
    <w:rsid w:val="00812D4F"/>
    <w:rsid w:val="008507D7"/>
    <w:rsid w:val="00857AE9"/>
    <w:rsid w:val="008C3306"/>
    <w:rsid w:val="009D1564"/>
    <w:rsid w:val="009E36AB"/>
    <w:rsid w:val="009F753E"/>
    <w:rsid w:val="00AA7ADA"/>
    <w:rsid w:val="00AC2E20"/>
    <w:rsid w:val="00C04AD0"/>
    <w:rsid w:val="00C162E3"/>
    <w:rsid w:val="00C618C4"/>
    <w:rsid w:val="00C940B2"/>
    <w:rsid w:val="00CD338A"/>
    <w:rsid w:val="00D547AF"/>
    <w:rsid w:val="00D80D3A"/>
    <w:rsid w:val="00D95656"/>
    <w:rsid w:val="00E8028B"/>
    <w:rsid w:val="00E8041F"/>
    <w:rsid w:val="00F005BB"/>
    <w:rsid w:val="00F34F63"/>
    <w:rsid w:val="00F36299"/>
    <w:rsid w:val="00F47BCB"/>
    <w:rsid w:val="00FE2D63"/>
    <w:rsid w:val="00FF001D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344FF"/>
  <w15:chartTrackingRefBased/>
  <w15:docId w15:val="{D0AA4AA6-4EE9-624A-9173-B73D6B44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8C4"/>
    <w:rPr>
      <w:rFonts w:cs="Times New Roman"/>
      <w:kern w:val="0"/>
      <w:sz w:val="20"/>
      <w:lang w:val=""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01EB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="Times New Roman (Headings CS)"/>
      <w:color w:val="FF0000"/>
      <w:kern w:val="2"/>
      <w:sz w:val="32"/>
      <w:szCs w:val="32"/>
      <w:lang w:val="en-GB" w:eastAsia="en-US"/>
      <w14:ligatures w14:val="standardContextual"/>
    </w:rPr>
  </w:style>
  <w:style w:type="paragraph" w:styleId="Heading2">
    <w:name w:val="heading 2"/>
    <w:basedOn w:val="Normal"/>
    <w:link w:val="Heading2Char"/>
    <w:autoRedefine/>
    <w:uiPriority w:val="9"/>
    <w:qFormat/>
    <w:rsid w:val="005F01EB"/>
    <w:pPr>
      <w:spacing w:before="100" w:beforeAutospacing="1" w:after="100" w:afterAutospacing="1"/>
      <w:outlineLvl w:val="1"/>
    </w:pPr>
    <w:rPr>
      <w:b/>
      <w:bCs/>
      <w:color w:val="E97132" w:themeColor="accent2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005BB"/>
    <w:pPr>
      <w:keepNext/>
      <w:keepLines/>
      <w:spacing w:before="160" w:after="80" w:line="276" w:lineRule="auto"/>
      <w:jc w:val="both"/>
      <w:outlineLvl w:val="2"/>
    </w:pPr>
    <w:rPr>
      <w:rFonts w:asciiTheme="majorHAnsi" w:eastAsiaTheme="majorEastAsia" w:hAnsiTheme="majorHAnsi" w:cs="Tahoma"/>
      <w:b/>
      <w:bCs/>
      <w:color w:val="007B82"/>
      <w:kern w:val="2"/>
      <w:sz w:val="24"/>
      <w:szCs w:val="1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F01EB"/>
    <w:pPr>
      <w:keepNext/>
      <w:keepLines/>
      <w:spacing w:before="40" w:line="276" w:lineRule="auto"/>
      <w:jc w:val="both"/>
      <w:outlineLvl w:val="3"/>
    </w:pPr>
    <w:rPr>
      <w:rFonts w:eastAsiaTheme="majorEastAsia" w:cs="Times New Roman (Body CS)"/>
      <w:b/>
      <w:color w:val="4EA72E" w:themeColor="accent6"/>
      <w:kern w:val="2"/>
      <w:sz w:val="24"/>
      <w:szCs w:val="20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29794F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A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A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A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A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6D2860"/>
    <w:pPr>
      <w:spacing w:after="200"/>
      <w:jc w:val="both"/>
    </w:pPr>
    <w:rPr>
      <w:rFonts w:cs="Times New Roman (Body CS)"/>
      <w:bCs/>
      <w:color w:val="3A7C22" w:themeColor="accent6" w:themeShade="BF"/>
      <w:sz w:val="24"/>
      <w:szCs w:val="22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F36299"/>
    <w:pPr>
      <w:framePr w:wrap="around" w:vAnchor="text" w:hAnchor="text" w:y="1"/>
      <w:spacing w:after="200"/>
    </w:pPr>
    <w:rPr>
      <w:b/>
      <w:iCs/>
      <w:color w:val="000000" w:themeColor="text1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F01EB"/>
    <w:rPr>
      <w:rFonts w:eastAsiaTheme="majorEastAsia" w:cs="Times New Roman (Body CS)"/>
      <w:b/>
      <w:color w:val="4EA72E" w:themeColor="accent6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F01EB"/>
    <w:rPr>
      <w:rFonts w:asciiTheme="majorHAnsi" w:eastAsiaTheme="majorEastAsia" w:hAnsiTheme="majorHAnsi" w:cs="Times New Roman (Headings CS)"/>
      <w:color w:val="FF0000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F01EB"/>
    <w:rPr>
      <w:rFonts w:cs="Times New Roman"/>
      <w:b/>
      <w:bCs/>
      <w:color w:val="E97132" w:themeColor="accent2"/>
      <w:kern w:val="0"/>
      <w:sz w:val="20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005BB"/>
    <w:rPr>
      <w:rFonts w:asciiTheme="majorHAnsi" w:eastAsiaTheme="majorEastAsia" w:hAnsiTheme="majorHAnsi" w:cs="Tahoma"/>
      <w:b/>
      <w:bCs/>
      <w:color w:val="007B82"/>
      <w:szCs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619"/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Textboxoutput">
    <w:name w:val="Textbox output"/>
    <w:basedOn w:val="Normal"/>
    <w:autoRedefine/>
    <w:qFormat/>
    <w:rsid w:val="009D156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2F2F2" w:themeFill="background1" w:themeFillShade="F2"/>
      <w:spacing w:after="200" w:line="276" w:lineRule="auto"/>
    </w:pPr>
    <w:rPr>
      <w:rFonts w:ascii="Arial Narrow" w:hAnsi="Arial Narrow"/>
      <w:szCs w:val="22"/>
      <w:lang w:val="en-GB"/>
    </w:rPr>
  </w:style>
  <w:style w:type="paragraph" w:customStyle="1" w:styleId="BulletPoint">
    <w:name w:val="Bullet Point"/>
    <w:basedOn w:val="Normal"/>
    <w:autoRedefine/>
    <w:qFormat/>
    <w:rsid w:val="0066305E"/>
    <w:pPr>
      <w:numPr>
        <w:numId w:val="22"/>
      </w:numPr>
    </w:pPr>
    <w:rPr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29794F"/>
  </w:style>
  <w:style w:type="character" w:customStyle="1" w:styleId="Heading6Char">
    <w:name w:val="Heading 6 Char"/>
    <w:basedOn w:val="DefaultParagraphFont"/>
    <w:link w:val="Heading6"/>
    <w:uiPriority w:val="9"/>
    <w:semiHidden/>
    <w:rsid w:val="003B0A13"/>
    <w:rPr>
      <w:rFonts w:eastAsiaTheme="majorEastAsia" w:cstheme="majorBidi"/>
      <w:i/>
      <w:iCs/>
      <w:color w:val="595959" w:themeColor="text1" w:themeTint="A6"/>
      <w:kern w:val="0"/>
      <w:sz w:val="20"/>
      <w:lang w:val="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A13"/>
    <w:rPr>
      <w:rFonts w:eastAsiaTheme="majorEastAsia" w:cstheme="majorBidi"/>
      <w:color w:val="595959" w:themeColor="text1" w:themeTint="A6"/>
      <w:kern w:val="0"/>
      <w:sz w:val="20"/>
      <w:lang w:val="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A13"/>
    <w:rPr>
      <w:rFonts w:eastAsiaTheme="majorEastAsia" w:cstheme="majorBidi"/>
      <w:i/>
      <w:iCs/>
      <w:color w:val="272727" w:themeColor="text1" w:themeTint="D8"/>
      <w:kern w:val="0"/>
      <w:sz w:val="20"/>
      <w:lang w:val="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A13"/>
    <w:rPr>
      <w:rFonts w:eastAsiaTheme="majorEastAsia" w:cstheme="majorBidi"/>
      <w:color w:val="272727" w:themeColor="text1" w:themeTint="D8"/>
      <w:kern w:val="0"/>
      <w:sz w:val="20"/>
      <w:lang w:val=""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B0A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A13"/>
    <w:rPr>
      <w:rFonts w:asciiTheme="majorHAnsi" w:eastAsiaTheme="majorEastAsia" w:hAnsiTheme="majorHAnsi" w:cstheme="majorBidi"/>
      <w:spacing w:val="-10"/>
      <w:kern w:val="28"/>
      <w:sz w:val="56"/>
      <w:szCs w:val="56"/>
      <w:lang w:val=""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A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A1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"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B0A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A13"/>
    <w:rPr>
      <w:rFonts w:cs="Times New Roman"/>
      <w:i/>
      <w:iCs/>
      <w:color w:val="404040" w:themeColor="text1" w:themeTint="BF"/>
      <w:kern w:val="0"/>
      <w:sz w:val="20"/>
      <w:lang w:val="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3B0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13"/>
    <w:rPr>
      <w:rFonts w:cs="Times New Roman"/>
      <w:i/>
      <w:iCs/>
      <w:color w:val="0F4761" w:themeColor="accent1" w:themeShade="BF"/>
      <w:kern w:val="0"/>
      <w:sz w:val="20"/>
      <w:lang w:val=""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B0A1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B0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0A13"/>
    <w:pPr>
      <w:spacing w:before="100" w:beforeAutospacing="1" w:after="100" w:afterAutospacing="1"/>
    </w:pPr>
    <w:rPr>
      <w:rFonts w:ascii="Times New Roman" w:hAnsi="Times New Roman"/>
      <w:sz w:val="24"/>
      <w:lang w:val="en-DE"/>
    </w:rPr>
  </w:style>
  <w:style w:type="character" w:customStyle="1" w:styleId="apple-converted-space">
    <w:name w:val="apple-converted-space"/>
    <w:basedOn w:val="DefaultParagraphFont"/>
    <w:rsid w:val="003B0A13"/>
  </w:style>
  <w:style w:type="table" w:styleId="GridTable2-Accent3">
    <w:name w:val="Grid Table 2 Accent 3"/>
    <w:basedOn w:val="TableNormal"/>
    <w:uiPriority w:val="47"/>
    <w:rsid w:val="003B0A13"/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3B0A13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3B0A13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Grid">
    <w:name w:val="Table Grid"/>
    <w:basedOn w:val="TableNormal"/>
    <w:uiPriority w:val="39"/>
    <w:rsid w:val="003A1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A1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CFC"/>
    <w:rPr>
      <w:rFonts w:cs="Times New Roman"/>
      <w:kern w:val="0"/>
      <w:sz w:val="20"/>
      <w:lang w:val=""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A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1206</Words>
  <Characters>7480</Characters>
  <Application>Microsoft Office Word</Application>
  <DocSecurity>0</DocSecurity>
  <Lines>178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Siewert</dc:creator>
  <cp:keywords/>
  <dc:description/>
  <cp:lastModifiedBy>Stefan Siewert</cp:lastModifiedBy>
  <cp:revision>3</cp:revision>
  <dcterms:created xsi:type="dcterms:W3CDTF">2025-01-20T09:55:00Z</dcterms:created>
  <dcterms:modified xsi:type="dcterms:W3CDTF">2025-01-20T10:03:00Z</dcterms:modified>
</cp:coreProperties>
</file>