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97EA8" w14:textId="77777777" w:rsidR="00AE25ED" w:rsidRPr="00B676B6" w:rsidRDefault="00AE25ED" w:rsidP="00C1667F">
      <w:pPr>
        <w:spacing w:after="0" w:line="276" w:lineRule="auto"/>
        <w:contextualSpacing/>
        <w:rPr>
          <w:rFonts w:ascii="Times New Roman Tj" w:hAnsi="Times New Roman Tj" w:cs="Times New Roman"/>
          <w:sz w:val="28"/>
          <w:szCs w:val="28"/>
        </w:rPr>
      </w:pPr>
      <w:r w:rsidRPr="00B676B6">
        <w:rPr>
          <w:rFonts w:ascii="Times New Roman Tj" w:hAnsi="Times New Roman Tj" w:cs="Times New Roman"/>
          <w:noProof/>
          <w:sz w:val="28"/>
          <w:szCs w:val="28"/>
          <w:lang w:eastAsia="ru-RU"/>
        </w:rPr>
        <mc:AlternateContent>
          <mc:Choice Requires="wps">
            <w:drawing>
              <wp:anchor distT="45720" distB="45720" distL="114300" distR="114300" simplePos="0" relativeHeight="251659264" behindDoc="0" locked="0" layoutInCell="1" allowOverlap="1" wp14:anchorId="080CB7E5" wp14:editId="7CE83C6F">
                <wp:simplePos x="0" y="0"/>
                <wp:positionH relativeFrom="column">
                  <wp:posOffset>3218180</wp:posOffset>
                </wp:positionH>
                <wp:positionV relativeFrom="paragraph">
                  <wp:posOffset>79375</wp:posOffset>
                </wp:positionV>
                <wp:extent cx="2947035" cy="953770"/>
                <wp:effectExtent l="0" t="0" r="571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953770"/>
                        </a:xfrm>
                        <a:prstGeom prst="rect">
                          <a:avLst/>
                        </a:prstGeom>
                        <a:solidFill>
                          <a:srgbClr val="FFFFFF"/>
                        </a:solidFill>
                        <a:ln w="9525">
                          <a:noFill/>
                          <a:miter lim="800000"/>
                          <a:headEnd/>
                          <a:tailEnd/>
                        </a:ln>
                      </wps:spPr>
                      <wps:txbx>
                        <w:txbxContent>
                          <w:p w14:paraId="6CD8F7C8" w14:textId="77777777" w:rsidR="00690747" w:rsidRPr="00B676B6" w:rsidRDefault="00690747" w:rsidP="00B676B6">
                            <w:pPr>
                              <w:spacing w:after="0" w:line="240" w:lineRule="auto"/>
                              <w:jc w:val="right"/>
                              <w:rPr>
                                <w:rFonts w:ascii="Times New Roman Tj" w:hAnsi="Times New Roman Tj"/>
                                <w:sz w:val="28"/>
                                <w:szCs w:val="28"/>
                                <w:lang w:val="en-US"/>
                              </w:rPr>
                            </w:pPr>
                            <w:r w:rsidRPr="00B676B6">
                              <w:rPr>
                                <w:rFonts w:ascii="Times New Roman Tj" w:hAnsi="Times New Roman Tj"/>
                                <w:sz w:val="28"/>
                                <w:szCs w:val="28"/>
                                <w:lang w:val="en-US"/>
                              </w:rPr>
                              <w:t>Annex 1</w:t>
                            </w:r>
                          </w:p>
                          <w:p w14:paraId="5AA6931D" w14:textId="77777777" w:rsidR="00690747" w:rsidRPr="00B676B6" w:rsidRDefault="00690747" w:rsidP="00B676B6">
                            <w:pPr>
                              <w:spacing w:after="0" w:line="240" w:lineRule="auto"/>
                              <w:jc w:val="right"/>
                              <w:rPr>
                                <w:rFonts w:ascii="Times New Roman Tj" w:hAnsi="Times New Roman Tj"/>
                                <w:sz w:val="28"/>
                                <w:szCs w:val="28"/>
                                <w:lang w:val="en-US"/>
                              </w:rPr>
                            </w:pPr>
                            <w:r w:rsidRPr="00B676B6">
                              <w:rPr>
                                <w:rFonts w:ascii="Times New Roman Tj" w:hAnsi="Times New Roman Tj"/>
                                <w:sz w:val="28"/>
                                <w:szCs w:val="28"/>
                                <w:lang w:val="en-US"/>
                              </w:rPr>
                              <w:t>to the Decree of the Government</w:t>
                            </w:r>
                          </w:p>
                          <w:p w14:paraId="4366A942" w14:textId="77777777" w:rsidR="00690747" w:rsidRPr="00B676B6" w:rsidRDefault="00690747" w:rsidP="00B676B6">
                            <w:pPr>
                              <w:spacing w:after="0" w:line="240" w:lineRule="auto"/>
                              <w:jc w:val="right"/>
                              <w:rPr>
                                <w:rFonts w:ascii="Times New Roman Tj" w:hAnsi="Times New Roman Tj"/>
                                <w:sz w:val="28"/>
                                <w:szCs w:val="28"/>
                                <w:lang w:val="en-US"/>
                              </w:rPr>
                            </w:pPr>
                            <w:r w:rsidRPr="00B676B6">
                              <w:rPr>
                                <w:rFonts w:ascii="Times New Roman Tj" w:hAnsi="Times New Roman Tj"/>
                                <w:sz w:val="28"/>
                                <w:szCs w:val="28"/>
                                <w:lang w:val="en-US"/>
                              </w:rPr>
                              <w:t>of the Republic of Tajikistan</w:t>
                            </w:r>
                          </w:p>
                          <w:p w14:paraId="359E8C03" w14:textId="54782E21" w:rsidR="00982D88" w:rsidRPr="00B676B6" w:rsidRDefault="00690747" w:rsidP="00B676B6">
                            <w:pPr>
                              <w:spacing w:after="0" w:line="240" w:lineRule="auto"/>
                              <w:jc w:val="right"/>
                              <w:rPr>
                                <w:sz w:val="28"/>
                                <w:szCs w:val="28"/>
                                <w:lang w:val="en-US"/>
                              </w:rPr>
                            </w:pPr>
                            <w:r w:rsidRPr="00B676B6">
                              <w:rPr>
                                <w:rFonts w:ascii="Times New Roman Tj" w:hAnsi="Times New Roman Tj"/>
                                <w:sz w:val="28"/>
                                <w:szCs w:val="28"/>
                                <w:lang w:val="en-US"/>
                              </w:rPr>
                              <w:t>dated “28” February 2025, No. 141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CB7E5" id="_x0000_t202" coordsize="21600,21600" o:spt="202" path="m,l,21600r21600,l21600,xe">
                <v:stroke joinstyle="miter"/>
                <v:path gradientshapeok="t" o:connecttype="rect"/>
              </v:shapetype>
              <v:shape id="Надпись 2" o:spid="_x0000_s1026" type="#_x0000_t202" style="position:absolute;margin-left:253.4pt;margin-top:6.25pt;width:232.05pt;height:7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" stroked="f">
                <v:textbox>
                  <w:txbxContent>
                    <w:p w14:paraId="6CD8F7C8" w14:textId="77777777" w:rsidR="00690747" w:rsidRPr="00B676B6" w:rsidRDefault="00690747" w:rsidP="00B676B6">
                      <w:pPr>
                        <w:spacing w:after="0" w:line="240" w:lineRule="auto"/>
                        <w:jc w:val="right"/>
                        <w:rPr>
                          <w:rFonts w:ascii="Times New Roman Tj" w:hAnsi="Times New Roman Tj"/>
                          <w:sz w:val="28"/>
                          <w:szCs w:val="28"/>
                          <w:lang w:val="en-US"/>
                        </w:rPr>
                      </w:pPr>
                      <w:r w:rsidRPr="00B676B6">
                        <w:rPr>
                          <w:rFonts w:ascii="Times New Roman Tj" w:hAnsi="Times New Roman Tj"/>
                          <w:sz w:val="28"/>
                          <w:szCs w:val="28"/>
                          <w:lang w:val="en-US"/>
                        </w:rPr>
                        <w:t>Annex 1</w:t>
                      </w:r>
                    </w:p>
                    <w:p w14:paraId="5AA6931D" w14:textId="77777777" w:rsidR="00690747" w:rsidRPr="00B676B6" w:rsidRDefault="00690747" w:rsidP="00B676B6">
                      <w:pPr>
                        <w:spacing w:after="0" w:line="240" w:lineRule="auto"/>
                        <w:jc w:val="right"/>
                        <w:rPr>
                          <w:rFonts w:ascii="Times New Roman Tj" w:hAnsi="Times New Roman Tj"/>
                          <w:sz w:val="28"/>
                          <w:szCs w:val="28"/>
                          <w:lang w:val="en-US"/>
                        </w:rPr>
                      </w:pPr>
                      <w:r w:rsidRPr="00B676B6">
                        <w:rPr>
                          <w:rFonts w:ascii="Times New Roman Tj" w:hAnsi="Times New Roman Tj"/>
                          <w:sz w:val="28"/>
                          <w:szCs w:val="28"/>
                          <w:lang w:val="en-US"/>
                        </w:rPr>
                        <w:t>to the Decree of the Government</w:t>
                      </w:r>
                    </w:p>
                    <w:p w14:paraId="4366A942" w14:textId="77777777" w:rsidR="00690747" w:rsidRPr="00B676B6" w:rsidRDefault="00690747" w:rsidP="00B676B6">
                      <w:pPr>
                        <w:spacing w:after="0" w:line="240" w:lineRule="auto"/>
                        <w:jc w:val="right"/>
                        <w:rPr>
                          <w:rFonts w:ascii="Times New Roman Tj" w:hAnsi="Times New Roman Tj"/>
                          <w:sz w:val="28"/>
                          <w:szCs w:val="28"/>
                          <w:lang w:val="en-US"/>
                        </w:rPr>
                      </w:pPr>
                      <w:r w:rsidRPr="00B676B6">
                        <w:rPr>
                          <w:rFonts w:ascii="Times New Roman Tj" w:hAnsi="Times New Roman Tj"/>
                          <w:sz w:val="28"/>
                          <w:szCs w:val="28"/>
                          <w:lang w:val="en-US"/>
                        </w:rPr>
                        <w:t>of the Republic of Tajikistan</w:t>
                      </w:r>
                    </w:p>
                    <w:p w14:paraId="359E8C03" w14:textId="54782E21" w:rsidR="00982D88" w:rsidRPr="00B676B6" w:rsidRDefault="00690747" w:rsidP="00B676B6">
                      <w:pPr>
                        <w:spacing w:after="0" w:line="240" w:lineRule="auto"/>
                        <w:jc w:val="right"/>
                        <w:rPr>
                          <w:sz w:val="28"/>
                          <w:szCs w:val="28"/>
                          <w:lang w:val="en-US"/>
                        </w:rPr>
                      </w:pPr>
                      <w:r w:rsidRPr="00B676B6">
                        <w:rPr>
                          <w:rFonts w:ascii="Times New Roman Tj" w:hAnsi="Times New Roman Tj"/>
                          <w:sz w:val="28"/>
                          <w:szCs w:val="28"/>
                          <w:lang w:val="en-US"/>
                        </w:rPr>
                        <w:t>dated “28” February 2025, No. 141</w:t>
                      </w:r>
                    </w:p>
                  </w:txbxContent>
                </v:textbox>
                <w10:wrap type="square"/>
              </v:shape>
            </w:pict>
          </mc:Fallback>
        </mc:AlternateContent>
      </w:r>
    </w:p>
    <w:p w14:paraId="17DCB186" w14:textId="77777777" w:rsidR="00AE25ED" w:rsidRPr="00B676B6" w:rsidRDefault="00AE25ED" w:rsidP="00C1667F">
      <w:pPr>
        <w:spacing w:after="0" w:line="276" w:lineRule="auto"/>
        <w:contextualSpacing/>
        <w:jc w:val="center"/>
        <w:rPr>
          <w:rFonts w:ascii="Times New Roman Tj" w:hAnsi="Times New Roman Tj" w:cs="Times New Roman"/>
          <w:sz w:val="28"/>
          <w:szCs w:val="28"/>
        </w:rPr>
      </w:pPr>
    </w:p>
    <w:p w14:paraId="089327E4" w14:textId="77777777" w:rsidR="00AE25ED" w:rsidRPr="00B676B6" w:rsidRDefault="00AE25ED" w:rsidP="00C1667F">
      <w:pPr>
        <w:spacing w:after="0" w:line="276" w:lineRule="auto"/>
        <w:contextualSpacing/>
        <w:jc w:val="center"/>
        <w:rPr>
          <w:rFonts w:ascii="Times New Roman Tj" w:hAnsi="Times New Roman Tj" w:cs="Times New Roman"/>
          <w:sz w:val="28"/>
          <w:szCs w:val="28"/>
        </w:rPr>
      </w:pPr>
    </w:p>
    <w:p w14:paraId="106E10E0" w14:textId="77777777" w:rsidR="00AE25ED" w:rsidRPr="00B676B6" w:rsidRDefault="00AE25ED" w:rsidP="00C1667F">
      <w:pPr>
        <w:spacing w:after="0" w:line="276" w:lineRule="auto"/>
        <w:contextualSpacing/>
        <w:jc w:val="center"/>
        <w:rPr>
          <w:rFonts w:ascii="Times New Roman Tj" w:hAnsi="Times New Roman Tj" w:cs="Times New Roman"/>
          <w:sz w:val="28"/>
          <w:szCs w:val="28"/>
        </w:rPr>
      </w:pPr>
    </w:p>
    <w:p w14:paraId="7BF39236" w14:textId="77777777" w:rsidR="00E303A2" w:rsidRPr="00B676B6" w:rsidRDefault="00E303A2" w:rsidP="00C1667F">
      <w:pPr>
        <w:spacing w:after="0" w:line="276" w:lineRule="auto"/>
        <w:contextualSpacing/>
        <w:rPr>
          <w:rFonts w:ascii="Times New Roman Tj" w:hAnsi="Times New Roman Tj" w:cs="Times New Roman"/>
          <w:sz w:val="28"/>
          <w:szCs w:val="28"/>
        </w:rPr>
      </w:pPr>
      <w:bookmarkStart w:id="0" w:name="_GoBack"/>
      <w:bookmarkEnd w:id="0"/>
    </w:p>
    <w:p w14:paraId="1D5644B1" w14:textId="082CD9E4" w:rsidR="00690747" w:rsidRPr="00B676B6" w:rsidRDefault="00690747" w:rsidP="00690747">
      <w:pPr>
        <w:pStyle w:val="Default"/>
        <w:spacing w:line="276" w:lineRule="auto"/>
        <w:contextualSpacing/>
        <w:jc w:val="center"/>
        <w:rPr>
          <w:rFonts w:ascii="Times New Roman Tj" w:eastAsiaTheme="minorHAnsi" w:hAnsi="Times New Roman Tj" w:cs="Times New Roman"/>
          <w:sz w:val="28"/>
          <w:szCs w:val="28"/>
          <w:lang w:val="en-US" w:eastAsia="en-US"/>
        </w:rPr>
      </w:pPr>
      <w:r w:rsidRPr="00B676B6">
        <w:rPr>
          <w:rFonts w:ascii="Times New Roman Tj" w:eastAsiaTheme="minorHAnsi" w:hAnsi="Times New Roman Tj" w:cs="Times New Roman"/>
          <w:sz w:val="28"/>
          <w:szCs w:val="28"/>
          <w:lang w:val="en-US" w:eastAsia="en-US"/>
        </w:rPr>
        <w:t xml:space="preserve">National Strategy for Assessing the Quality of Education  </w:t>
      </w:r>
    </w:p>
    <w:p w14:paraId="3FFDFE9A" w14:textId="0E35ABCA" w:rsidR="003C50F5" w:rsidRPr="00B676B6" w:rsidRDefault="00690747" w:rsidP="00690747">
      <w:pPr>
        <w:pStyle w:val="Default"/>
        <w:spacing w:line="276" w:lineRule="auto"/>
        <w:contextualSpacing/>
        <w:jc w:val="center"/>
        <w:rPr>
          <w:rFonts w:ascii="Times New Roman Tj" w:hAnsi="Times New Roman Tj" w:cs="Times New Roman"/>
          <w:sz w:val="28"/>
          <w:szCs w:val="28"/>
          <w:lang w:val="en-US"/>
        </w:rPr>
      </w:pPr>
      <w:r w:rsidRPr="00B676B6">
        <w:rPr>
          <w:rFonts w:ascii="Times New Roman Tj" w:eastAsiaTheme="minorHAnsi" w:hAnsi="Times New Roman Tj" w:cs="Times New Roman"/>
          <w:sz w:val="28"/>
          <w:szCs w:val="28"/>
          <w:lang w:val="en-US" w:eastAsia="en-US"/>
        </w:rPr>
        <w:t>in the Republic of Tajikistan for the Period Until 2044</w:t>
      </w:r>
    </w:p>
    <w:p w14:paraId="0B8DFAFD" w14:textId="77777777" w:rsidR="00690747" w:rsidRPr="00B676B6" w:rsidRDefault="00690747" w:rsidP="00690747">
      <w:pPr>
        <w:pStyle w:val="Default"/>
        <w:tabs>
          <w:tab w:val="left" w:pos="851"/>
        </w:tabs>
        <w:spacing w:line="276" w:lineRule="auto"/>
        <w:contextualSpacing/>
        <w:jc w:val="both"/>
        <w:rPr>
          <w:rFonts w:ascii="Times New Roman Tj" w:hAnsi="Times New Roman Tj" w:cs="Times New Roman"/>
          <w:sz w:val="28"/>
          <w:szCs w:val="28"/>
          <w:lang w:val="tg-Cyrl-TJ"/>
        </w:rPr>
      </w:pPr>
      <w:r w:rsidRPr="00B676B6">
        <w:rPr>
          <w:rFonts w:ascii="Times New Roman Tj" w:hAnsi="Times New Roman Tj" w:cs="Times New Roman"/>
          <w:sz w:val="28"/>
          <w:szCs w:val="28"/>
          <w:lang w:val="tg-Cyrl-TJ"/>
        </w:rPr>
        <w:tab/>
      </w:r>
      <w:r w:rsidRPr="00B676B6">
        <w:rPr>
          <w:rFonts w:ascii="Times New Roman Tj" w:hAnsi="Times New Roman Tj" w:cs="Times New Roman"/>
          <w:sz w:val="28"/>
          <w:szCs w:val="28"/>
          <w:lang w:val="tg-Cyrl-TJ"/>
        </w:rPr>
        <w:tab/>
      </w:r>
      <w:r w:rsidRPr="00B676B6">
        <w:rPr>
          <w:rFonts w:ascii="Times New Roman Tj" w:hAnsi="Times New Roman Tj" w:cs="Times New Roman"/>
          <w:sz w:val="28"/>
          <w:szCs w:val="28"/>
          <w:lang w:val="tg-Cyrl-TJ"/>
        </w:rPr>
        <w:tab/>
      </w:r>
      <w:r w:rsidRPr="00B676B6">
        <w:rPr>
          <w:rFonts w:ascii="Times New Roman Tj" w:hAnsi="Times New Roman Tj" w:cs="Times New Roman"/>
          <w:sz w:val="28"/>
          <w:szCs w:val="28"/>
          <w:lang w:val="tg-Cyrl-TJ"/>
        </w:rPr>
        <w:tab/>
      </w:r>
    </w:p>
    <w:p w14:paraId="6FD22CF9" w14:textId="5B42B9A4" w:rsidR="00690747" w:rsidRPr="00B676B6" w:rsidRDefault="00690747" w:rsidP="00690747">
      <w:pPr>
        <w:pStyle w:val="Default"/>
        <w:tabs>
          <w:tab w:val="left" w:pos="851"/>
        </w:tabs>
        <w:spacing w:line="276" w:lineRule="auto"/>
        <w:contextualSpacing/>
        <w:jc w:val="both"/>
        <w:rPr>
          <w:rFonts w:ascii="Times New Roman Tj" w:hAnsi="Times New Roman Tj" w:cs="Times New Roman"/>
          <w:sz w:val="28"/>
          <w:szCs w:val="28"/>
          <w:lang w:val="tg-Cyrl-TJ"/>
        </w:rPr>
      </w:pPr>
      <w:r w:rsidRPr="00B676B6">
        <w:rPr>
          <w:rFonts w:ascii="Times New Roman Tj" w:hAnsi="Times New Roman Tj" w:cs="Times New Roman"/>
          <w:sz w:val="28"/>
          <w:szCs w:val="28"/>
          <w:lang w:val="tg-Cyrl-TJ"/>
        </w:rPr>
        <w:tab/>
      </w:r>
      <w:r w:rsidRPr="00B676B6">
        <w:rPr>
          <w:rFonts w:ascii="Times New Roman Tj" w:hAnsi="Times New Roman Tj" w:cs="Times New Roman"/>
          <w:sz w:val="28"/>
          <w:szCs w:val="28"/>
          <w:lang w:val="tg-Cyrl-TJ"/>
        </w:rPr>
        <w:tab/>
      </w:r>
      <w:r w:rsidRPr="00B676B6">
        <w:rPr>
          <w:rFonts w:ascii="Times New Roman Tj" w:hAnsi="Times New Roman Tj" w:cs="Times New Roman"/>
          <w:sz w:val="28"/>
          <w:szCs w:val="28"/>
          <w:lang w:val="tg-Cyrl-TJ"/>
        </w:rPr>
        <w:tab/>
      </w:r>
      <w:r w:rsidRPr="00B676B6">
        <w:rPr>
          <w:rFonts w:ascii="Times New Roman Tj" w:hAnsi="Times New Roman Tj" w:cs="Times New Roman"/>
          <w:sz w:val="28"/>
          <w:szCs w:val="28"/>
          <w:lang w:val="tg-Cyrl-TJ"/>
        </w:rPr>
        <w:tab/>
        <w:t>1. GENERAL PROVISIONS</w:t>
      </w:r>
    </w:p>
    <w:p w14:paraId="656BABCD" w14:textId="72791E44" w:rsidR="00690747" w:rsidRPr="00B676B6" w:rsidRDefault="00690747" w:rsidP="00B676B6">
      <w:pPr>
        <w:pStyle w:val="a5"/>
        <w:spacing w:after="0" w:line="276" w:lineRule="auto"/>
        <w:ind w:left="0"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1. The National Strategy for Assessing the Quality of Education in the Republic of Tajikistan for the Period Until 2044** (hereinafter – the Strategy) has been developed on the basis of the National Concept for Assessing the Quality of Education in the Republic of Tajikistan for the Period Until 2044, approved by the Decree of the Government of the Republic of Tajikistan dated April 29, 2024, No. 240. The Strategy, as a tool for implementing the above Concept, is aimed at improving the education system with the goal of ensuring the quality of education through the establishment of an assessment system.</w:t>
      </w:r>
    </w:p>
    <w:p w14:paraId="2AF89B55" w14:textId="6F3A5721" w:rsidR="00690747" w:rsidRPr="00B676B6" w:rsidRDefault="00690747" w:rsidP="00B676B6">
      <w:pPr>
        <w:pStyle w:val="a5"/>
        <w:spacing w:after="0" w:line="276" w:lineRule="auto"/>
        <w:ind w:left="0"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2. The Strategy also focuses on improving the teaching process, contributes to ensuring the quality of education in Tajikistan, and lays the foundation for participation in international assessments of education quality.</w:t>
      </w:r>
    </w:p>
    <w:p w14:paraId="296D3724" w14:textId="3ADA995D" w:rsidR="00690747" w:rsidRPr="00B676B6" w:rsidRDefault="00690747" w:rsidP="00B676B6">
      <w:pPr>
        <w:pStyle w:val="a5"/>
        <w:spacing w:after="0" w:line="276" w:lineRule="auto"/>
        <w:ind w:left="0"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3. The quality of education is assessed taking into account the provision of favorable teaching and learning conditions, human resources capacity, educational literature adapted to students’ intellectual and physiological abilities, teaching and methodological tools and visual aids, as well as the mastery of educational and instructional programs in accordance with the requirements of national education standards.</w:t>
      </w:r>
    </w:p>
    <w:p w14:paraId="54C6A234" w14:textId="77777777" w:rsidR="00690747" w:rsidRPr="00B676B6" w:rsidRDefault="00690747" w:rsidP="00690747">
      <w:pPr>
        <w:pStyle w:val="a5"/>
        <w:spacing w:after="0" w:line="276" w:lineRule="auto"/>
        <w:ind w:firstLine="696"/>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w:t>
      </w:r>
    </w:p>
    <w:p w14:paraId="1726CCAD" w14:textId="36047CB3" w:rsidR="00690747" w:rsidRPr="00B676B6" w:rsidRDefault="00690747" w:rsidP="00690747">
      <w:pPr>
        <w:pStyle w:val="a5"/>
        <w:spacing w:after="0" w:line="276" w:lineRule="auto"/>
        <w:ind w:firstLine="696"/>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w:t>
      </w:r>
      <w:r w:rsidRPr="00B676B6">
        <w:rPr>
          <w:rFonts w:ascii="Times New Roman Tj" w:eastAsia="Times New Roman" w:hAnsi="Times New Roman Tj" w:cs="Times New Roman"/>
          <w:sz w:val="28"/>
          <w:szCs w:val="28"/>
          <w:lang w:val="tg-Cyrl-TJ" w:eastAsia="ru-RU"/>
        </w:rPr>
        <w:tab/>
      </w:r>
      <w:r w:rsidRPr="00B676B6">
        <w:rPr>
          <w:rFonts w:ascii="Times New Roman Tj" w:eastAsia="Times New Roman" w:hAnsi="Times New Roman Tj" w:cs="Times New Roman"/>
          <w:sz w:val="28"/>
          <w:szCs w:val="28"/>
          <w:lang w:val="tg-Cyrl-TJ" w:eastAsia="ru-RU"/>
        </w:rPr>
        <w:tab/>
        <w:t>2. SITUATIONAL ANALYSIS</w:t>
      </w:r>
    </w:p>
    <w:p w14:paraId="3CC7ED3C" w14:textId="12C9E7D3" w:rsidR="00690747" w:rsidRPr="00B676B6" w:rsidRDefault="00690747" w:rsidP="00B676B6">
      <w:pPr>
        <w:pStyle w:val="a5"/>
        <w:spacing w:after="0" w:line="276" w:lineRule="auto"/>
        <w:ind w:left="0"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4. In the Republic of Tajikistan, departments, divisions, and working groups responsible for managing the quality of education operate under the relevant ministries, agencies, and educational institutions.</w:t>
      </w:r>
    </w:p>
    <w:p w14:paraId="0A3676F6" w14:textId="74C5A8C7" w:rsidR="00EE0143" w:rsidRPr="00B676B6" w:rsidRDefault="00690747" w:rsidP="00B676B6">
      <w:pPr>
        <w:pStyle w:val="a5"/>
        <w:spacing w:after="0" w:line="276" w:lineRule="auto"/>
        <w:ind w:left="0" w:firstLine="567"/>
        <w:jc w:val="both"/>
        <w:rPr>
          <w:rFonts w:ascii="Times New Roman Tj" w:hAnsi="Times New Roman Tj" w:cs="Times New Roman Tj"/>
          <w:spacing w:val="-2"/>
          <w:sz w:val="28"/>
          <w:szCs w:val="28"/>
          <w:lang w:val="tg-Cyrl-TJ"/>
        </w:rPr>
      </w:pPr>
      <w:r w:rsidRPr="00B676B6">
        <w:rPr>
          <w:rFonts w:ascii="Times New Roman Tj" w:eastAsia="Times New Roman" w:hAnsi="Times New Roman Tj" w:cs="Times New Roman"/>
          <w:sz w:val="28"/>
          <w:szCs w:val="28"/>
          <w:lang w:val="tg-Cyrl-TJ" w:eastAsia="ru-RU"/>
        </w:rPr>
        <w:t>5. A multi-level education system (bachelor’s, specialist, master’s,   Doctor of Philosophy – PhD, doctor in a specific field, habilitated doctor) has been established and integrated in the Republic of Tajikistan, and assessment is carried out in accordance with the stages of education.</w:t>
      </w:r>
    </w:p>
    <w:p w14:paraId="2602D25D" w14:textId="0EAE7936" w:rsidR="00690747" w:rsidRPr="00B676B6" w:rsidRDefault="00690747" w:rsidP="009E32D4">
      <w:pPr>
        <w:pStyle w:val="a5"/>
        <w:spacing w:after="0" w:line="276" w:lineRule="auto"/>
        <w:ind w:left="0" w:firstLine="567"/>
        <w:jc w:val="both"/>
        <w:rPr>
          <w:rFonts w:ascii="Times New Roman Tj" w:hAnsi="Times New Roman Tj" w:cs="Times New Roman Tj"/>
          <w:spacing w:val="-2"/>
          <w:sz w:val="28"/>
          <w:szCs w:val="28"/>
          <w:lang w:val="tg-Cyrl-TJ"/>
        </w:rPr>
      </w:pPr>
      <w:r w:rsidRPr="00B676B6">
        <w:rPr>
          <w:rFonts w:ascii="Times New Roman Tj" w:hAnsi="Times New Roman Tj" w:cs="Times New Roman Tj"/>
          <w:spacing w:val="-2"/>
          <w:sz w:val="28"/>
          <w:szCs w:val="28"/>
          <w:lang w:val="tg-Cyrl-TJ"/>
        </w:rPr>
        <w:t>6. In the current context, the assessment of the quality of education, taking into account the mastery of educational programs, is carried out in general and initial vocational education institutions based on the five-point grading system (2–</w:t>
      </w:r>
      <w:r w:rsidRPr="00B676B6">
        <w:rPr>
          <w:rFonts w:ascii="Times New Roman Tj" w:hAnsi="Times New Roman Tj" w:cs="Times New Roman Tj"/>
          <w:spacing w:val="-2"/>
          <w:sz w:val="28"/>
          <w:szCs w:val="28"/>
          <w:lang w:val="tg-Cyrl-TJ"/>
        </w:rPr>
        <w:lastRenderedPageBreak/>
        <w:t>5), and in secondary and higher vocational education institutions based on the hundred-point grading system.</w:t>
      </w:r>
    </w:p>
    <w:p w14:paraId="605E8007" w14:textId="232C5EF7" w:rsidR="00323B90" w:rsidRPr="00B676B6" w:rsidRDefault="00323B90" w:rsidP="00323B90">
      <w:pPr>
        <w:spacing w:after="0" w:line="276" w:lineRule="auto"/>
        <w:ind w:firstLine="567"/>
        <w:jc w:val="both"/>
        <w:rPr>
          <w:rFonts w:ascii="Times New Roman Tj" w:hAnsi="Times New Roman Tj" w:cs="Times New Roman"/>
          <w:bCs/>
          <w:sz w:val="28"/>
          <w:szCs w:val="28"/>
          <w:lang w:val="tt-RU"/>
        </w:rPr>
      </w:pPr>
      <w:r w:rsidRPr="00B676B6">
        <w:rPr>
          <w:rFonts w:ascii="Times New Roman Tj" w:hAnsi="Times New Roman Tj" w:cs="Times New Roman"/>
          <w:bCs/>
          <w:sz w:val="28"/>
          <w:szCs w:val="28"/>
          <w:lang w:val="tt-RU"/>
        </w:rPr>
        <w:t>7. The analysis results showed that in 2024, the quality of education was assessed as follows: in general secondary education institutions – 35.1%, in new-type general secondary education institutions – 42.1%, in initial vocational education institutions – 35.7%, in secondary vocational education institutions – 39.5%, and in higher vocational education institutions – 44.3%. In addition, the level of mastery of educational programs was determined as follows: in general secondary education institutions – 93.1%, in new-type general secondary education institutions – 95.1%, in initial vocational education institutions – 71.3%, in secondary vocational education institutions – 76.3%, and in higher vocational education institutions – 85.3%.</w:t>
      </w:r>
    </w:p>
    <w:p w14:paraId="365DAF3B" w14:textId="2D9DC448" w:rsidR="00EE0143" w:rsidRPr="00B676B6" w:rsidRDefault="00323B90" w:rsidP="009E32D4">
      <w:pPr>
        <w:pStyle w:val="a5"/>
        <w:spacing w:after="0" w:line="276" w:lineRule="auto"/>
        <w:ind w:left="0" w:firstLine="567"/>
        <w:jc w:val="both"/>
        <w:rPr>
          <w:rFonts w:ascii="Times New Roman Tj" w:hAnsi="Times New Roman Tj" w:cs="Times New Roman"/>
          <w:sz w:val="28"/>
          <w:szCs w:val="28"/>
          <w:lang w:val="tg-Cyrl-TJ"/>
        </w:rPr>
      </w:pPr>
      <w:r w:rsidRPr="00B676B6">
        <w:rPr>
          <w:rFonts w:ascii="Times New Roman Tj" w:hAnsi="Times New Roman Tj" w:cs="Times New Roman"/>
          <w:sz w:val="28"/>
          <w:szCs w:val="28"/>
          <w:lang w:val="tg-Cyrl-TJ"/>
        </w:rPr>
        <w:t>8.The assessment of the quality of education and the mastery of educational programs in educational institutions is carried out during the first and second semesters of the academic year. The assessment is concluded based on the results of education quality monitoring.</w:t>
      </w:r>
      <w:r w:rsidR="00EE0143" w:rsidRPr="00B676B6">
        <w:rPr>
          <w:rFonts w:ascii="Times New Roman Tj" w:hAnsi="Times New Roman Tj" w:cs="Times New Roman"/>
          <w:sz w:val="28"/>
          <w:szCs w:val="28"/>
          <w:lang w:val="tg-Cyrl-TJ"/>
        </w:rPr>
        <w:t xml:space="preserve"> </w:t>
      </w:r>
    </w:p>
    <w:p w14:paraId="187FD1A1" w14:textId="77777777" w:rsidR="00323B90" w:rsidRPr="00B676B6" w:rsidRDefault="00323B90" w:rsidP="009E32D4">
      <w:pPr>
        <w:pStyle w:val="a5"/>
        <w:spacing w:after="0" w:line="276" w:lineRule="auto"/>
        <w:ind w:left="0" w:firstLine="567"/>
        <w:jc w:val="both"/>
        <w:rPr>
          <w:rFonts w:ascii="Times New Roman Tj" w:hAnsi="Times New Roman Tj" w:cs="Times New Roman"/>
          <w:sz w:val="28"/>
          <w:szCs w:val="28"/>
          <w:lang w:val="tg-Cyrl-TJ"/>
        </w:rPr>
      </w:pPr>
    </w:p>
    <w:p w14:paraId="38448E31" w14:textId="163353D1" w:rsidR="00323B90" w:rsidRPr="00B676B6" w:rsidRDefault="00323B90" w:rsidP="00323B90">
      <w:pPr>
        <w:spacing w:after="0" w:line="276" w:lineRule="auto"/>
        <w:ind w:firstLine="567"/>
        <w:contextualSpacing/>
        <w:jc w:val="center"/>
        <w:rPr>
          <w:rFonts w:ascii="Times New Roman Tj" w:hAnsi="Times New Roman Tj" w:cs="Times New Roman"/>
          <w:sz w:val="28"/>
          <w:szCs w:val="28"/>
          <w:lang w:val="tg-Cyrl-TJ"/>
        </w:rPr>
      </w:pPr>
      <w:r w:rsidRPr="00B676B6">
        <w:rPr>
          <w:rFonts w:ascii="Times New Roman Tj" w:hAnsi="Times New Roman Tj" w:cs="Times New Roman"/>
          <w:sz w:val="28"/>
          <w:szCs w:val="28"/>
          <w:lang w:val="tg-Cyrl-TJ"/>
        </w:rPr>
        <w:t>3. CHALLENGES IN ASSESSING THE QUALITY OF EDUCATION AND WAYS TO ADDRESS THEM</w:t>
      </w:r>
    </w:p>
    <w:p w14:paraId="4880F484" w14:textId="5C3758AC" w:rsidR="00323B90" w:rsidRPr="00B676B6" w:rsidRDefault="00323B90" w:rsidP="00323B9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Tj" w:eastAsiaTheme="minorHAnsi" w:hAnsi="Times New Roman Tj" w:cs="Times New Roman"/>
          <w:sz w:val="28"/>
          <w:szCs w:val="28"/>
          <w:lang w:val="tg-Cyrl-TJ" w:eastAsia="en-US"/>
        </w:rPr>
      </w:pPr>
      <w:r w:rsidRPr="00B676B6">
        <w:rPr>
          <w:rFonts w:ascii="Times New Roman Tj" w:eastAsiaTheme="minorHAnsi" w:hAnsi="Times New Roman Tj" w:cs="Times New Roman"/>
          <w:sz w:val="28"/>
          <w:szCs w:val="28"/>
          <w:lang w:val="tg-Cyrl-TJ" w:eastAsia="en-US"/>
        </w:rPr>
        <w:tab/>
        <w:t xml:space="preserve">9. Challenges in assessing the quality of education in educational institutions:  </w:t>
      </w:r>
    </w:p>
    <w:p w14:paraId="16313935" w14:textId="5251B386" w:rsidR="00323B90" w:rsidRPr="00B676B6" w:rsidRDefault="00323B90" w:rsidP="00323B90">
      <w:pPr>
        <w:pStyle w:val="Defaul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Tj" w:eastAsiaTheme="minorHAnsi" w:hAnsi="Times New Roman Tj" w:cs="Times New Roman"/>
          <w:sz w:val="28"/>
          <w:szCs w:val="28"/>
          <w:lang w:val="tg-Cyrl-TJ" w:eastAsia="en-US"/>
        </w:rPr>
      </w:pPr>
      <w:r w:rsidRPr="00B676B6">
        <w:rPr>
          <w:rFonts w:ascii="Times New Roman Tj" w:eastAsiaTheme="minorHAnsi" w:hAnsi="Times New Roman Tj" w:cs="Times New Roman"/>
          <w:sz w:val="28"/>
          <w:szCs w:val="28"/>
          <w:lang w:val="tg-Cyrl-TJ" w:eastAsia="en-US"/>
        </w:rPr>
        <w:t xml:space="preserve">non-compliance with assessment principles;  </w:t>
      </w:r>
    </w:p>
    <w:p w14:paraId="796C6424" w14:textId="7266BECC" w:rsidR="00323B90" w:rsidRPr="00B676B6" w:rsidRDefault="00323B90" w:rsidP="00323B90">
      <w:pPr>
        <w:pStyle w:val="Defaul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Tj" w:eastAsiaTheme="minorHAnsi" w:hAnsi="Times New Roman Tj" w:cs="Times New Roman"/>
          <w:sz w:val="28"/>
          <w:szCs w:val="28"/>
          <w:lang w:val="tg-Cyrl-TJ" w:eastAsia="en-US"/>
        </w:rPr>
      </w:pPr>
      <w:r w:rsidRPr="00B676B6">
        <w:rPr>
          <w:rFonts w:ascii="Times New Roman Tj" w:eastAsiaTheme="minorHAnsi" w:hAnsi="Times New Roman Tj" w:cs="Times New Roman"/>
          <w:sz w:val="28"/>
          <w:szCs w:val="28"/>
          <w:lang w:val="tg-Cyrl-TJ" w:eastAsia="en-US"/>
        </w:rPr>
        <w:t xml:space="preserve"> lack of comprehensive standards, tools, and classification of assessment levels;  </w:t>
      </w:r>
    </w:p>
    <w:p w14:paraId="4E4ABAA1" w14:textId="48AEBBC8" w:rsidR="00323B90" w:rsidRPr="00B676B6" w:rsidRDefault="00323B90" w:rsidP="00323B90">
      <w:pPr>
        <w:pStyle w:val="Defaul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Tj" w:eastAsiaTheme="minorHAnsi" w:hAnsi="Times New Roman Tj" w:cs="Times New Roman"/>
          <w:sz w:val="28"/>
          <w:szCs w:val="28"/>
          <w:lang w:val="tg-Cyrl-TJ" w:eastAsia="en-US"/>
        </w:rPr>
      </w:pPr>
      <w:r w:rsidRPr="00B676B6">
        <w:rPr>
          <w:rFonts w:ascii="Times New Roman Tj" w:eastAsiaTheme="minorHAnsi" w:hAnsi="Times New Roman Tj" w:cs="Times New Roman"/>
          <w:sz w:val="28"/>
          <w:szCs w:val="28"/>
          <w:lang w:val="tg-Cyrl-TJ" w:eastAsia="en-US"/>
        </w:rPr>
        <w:t xml:space="preserve"> insufficient use of modern assessment methods from developed countries by teachers in the learning process;  </w:t>
      </w:r>
    </w:p>
    <w:p w14:paraId="23E68E94" w14:textId="2AC0FCCB" w:rsidR="00323B90" w:rsidRPr="00B676B6" w:rsidRDefault="00323B90" w:rsidP="00323B90">
      <w:pPr>
        <w:pStyle w:val="Defaul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Tj" w:eastAsiaTheme="minorHAnsi" w:hAnsi="Times New Roman Tj" w:cs="Times New Roman"/>
          <w:sz w:val="28"/>
          <w:szCs w:val="28"/>
          <w:lang w:val="tg-Cyrl-TJ" w:eastAsia="en-US"/>
        </w:rPr>
      </w:pPr>
      <w:r w:rsidRPr="00B676B6">
        <w:rPr>
          <w:rFonts w:ascii="Times New Roman Tj" w:eastAsiaTheme="minorHAnsi" w:hAnsi="Times New Roman Tj" w:cs="Times New Roman"/>
          <w:sz w:val="28"/>
          <w:szCs w:val="28"/>
          <w:lang w:val="tg-Cyrl-TJ" w:eastAsia="en-US"/>
        </w:rPr>
        <w:t xml:space="preserve"> incomplete analysis of assessment results regarding the educational performance of students and teachers by the departments of education, as well as failure to adequately prepare reports to address existing problems;  </w:t>
      </w:r>
    </w:p>
    <w:p w14:paraId="5EF8804E" w14:textId="5E34CD9E" w:rsidR="00323B90" w:rsidRPr="00B676B6" w:rsidRDefault="00323B90" w:rsidP="00323B90">
      <w:pPr>
        <w:pStyle w:val="Defaul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Tj" w:eastAsiaTheme="minorHAnsi" w:hAnsi="Times New Roman Tj" w:cs="Times New Roman"/>
          <w:sz w:val="28"/>
          <w:szCs w:val="28"/>
          <w:lang w:val="tg-Cyrl-TJ" w:eastAsia="en-US"/>
        </w:rPr>
      </w:pPr>
      <w:r w:rsidRPr="00B676B6">
        <w:rPr>
          <w:rFonts w:ascii="Times New Roman Tj" w:eastAsiaTheme="minorHAnsi" w:hAnsi="Times New Roman Tj" w:cs="Times New Roman"/>
          <w:sz w:val="28"/>
          <w:szCs w:val="28"/>
          <w:lang w:val="tg-Cyrl-TJ" w:eastAsia="en-US"/>
        </w:rPr>
        <w:t xml:space="preserve"> absence of unified indicators to objectively determine the quality of education;  </w:t>
      </w:r>
    </w:p>
    <w:p w14:paraId="7E5F278B" w14:textId="30E86343" w:rsidR="00323B90" w:rsidRPr="00B676B6" w:rsidRDefault="00323B90" w:rsidP="00323B90">
      <w:pPr>
        <w:pStyle w:val="Defaul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Tj" w:eastAsiaTheme="minorHAnsi" w:hAnsi="Times New Roman Tj" w:cs="Times New Roman"/>
          <w:sz w:val="28"/>
          <w:szCs w:val="28"/>
          <w:lang w:val="tg-Cyrl-TJ" w:eastAsia="en-US"/>
        </w:rPr>
      </w:pPr>
      <w:r w:rsidRPr="00B676B6">
        <w:rPr>
          <w:rFonts w:ascii="Times New Roman Tj" w:eastAsiaTheme="minorHAnsi" w:hAnsi="Times New Roman Tj" w:cs="Times New Roman"/>
          <w:sz w:val="28"/>
          <w:szCs w:val="28"/>
          <w:lang w:val="tg-Cyrl-TJ" w:eastAsia="en-US"/>
        </w:rPr>
        <w:t xml:space="preserve"> regulatory legal documents governing assessment issues in the field of education do not meet the requirements of the modern era;  </w:t>
      </w:r>
    </w:p>
    <w:p w14:paraId="237CFF53" w14:textId="58DCFD25" w:rsidR="00323B90" w:rsidRPr="00B676B6" w:rsidRDefault="00323B90" w:rsidP="00323B90">
      <w:pPr>
        <w:pStyle w:val="Defaul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Tj" w:eastAsiaTheme="minorHAnsi" w:hAnsi="Times New Roman Tj" w:cs="Times New Roman"/>
          <w:sz w:val="28"/>
          <w:szCs w:val="28"/>
          <w:lang w:val="tg-Cyrl-TJ" w:eastAsia="en-US"/>
        </w:rPr>
      </w:pPr>
      <w:r w:rsidRPr="00B676B6">
        <w:rPr>
          <w:rFonts w:ascii="Times New Roman Tj" w:eastAsiaTheme="minorHAnsi" w:hAnsi="Times New Roman Tj" w:cs="Times New Roman"/>
          <w:sz w:val="28"/>
          <w:szCs w:val="28"/>
          <w:lang w:val="tg-Cyrl-TJ" w:eastAsia="en-US"/>
        </w:rPr>
        <w:t xml:space="preserve"> lack of developed assessment models adapted to the types and levels of education, as well as the needs of learners with disabilities;  </w:t>
      </w:r>
    </w:p>
    <w:p w14:paraId="0D5BE880" w14:textId="65C881EC" w:rsidR="00323B90" w:rsidRPr="00B676B6" w:rsidRDefault="00323B90" w:rsidP="00323B90">
      <w:pPr>
        <w:pStyle w:val="Defaul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Tj" w:eastAsiaTheme="minorHAnsi" w:hAnsi="Times New Roman Tj" w:cs="Times New Roman"/>
          <w:sz w:val="28"/>
          <w:szCs w:val="28"/>
          <w:lang w:val="tg-Cyrl-TJ" w:eastAsia="en-US"/>
        </w:rPr>
      </w:pPr>
      <w:r w:rsidRPr="00B676B6">
        <w:rPr>
          <w:rFonts w:ascii="Times New Roman Tj" w:eastAsiaTheme="minorHAnsi" w:hAnsi="Times New Roman Tj" w:cs="Times New Roman"/>
          <w:sz w:val="28"/>
          <w:szCs w:val="28"/>
          <w:lang w:val="tg-Cyrl-TJ" w:eastAsia="en-US"/>
        </w:rPr>
        <w:t xml:space="preserve">insufficient cooperation between relevant educational structures and organizations of developed countries on issues of quality assessment;  </w:t>
      </w:r>
    </w:p>
    <w:p w14:paraId="19F325B5" w14:textId="3A38FF07" w:rsidR="00323B90" w:rsidRPr="00B676B6" w:rsidRDefault="00323B90" w:rsidP="00323B90">
      <w:pPr>
        <w:pStyle w:val="Defaul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Tj" w:eastAsiaTheme="minorHAnsi" w:hAnsi="Times New Roman Tj" w:cs="Times New Roman"/>
          <w:sz w:val="28"/>
          <w:szCs w:val="28"/>
          <w:lang w:val="tg-Cyrl-TJ" w:eastAsia="en-US"/>
        </w:rPr>
      </w:pPr>
      <w:r w:rsidRPr="00B676B6">
        <w:rPr>
          <w:rFonts w:ascii="Times New Roman Tj" w:eastAsiaTheme="minorHAnsi" w:hAnsi="Times New Roman Tj" w:cs="Times New Roman"/>
          <w:sz w:val="28"/>
          <w:szCs w:val="28"/>
          <w:lang w:val="tg-Cyrl-TJ" w:eastAsia="en-US"/>
        </w:rPr>
        <w:t xml:space="preserve"> absence of a unified mechanism for assessing the quality of education in the education system;  </w:t>
      </w:r>
    </w:p>
    <w:p w14:paraId="164FA50D" w14:textId="3213BCA6" w:rsidR="00AE25ED" w:rsidRPr="00B676B6" w:rsidRDefault="00323B90" w:rsidP="00323B90">
      <w:pPr>
        <w:pStyle w:val="Default"/>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Tj" w:hAnsi="Times New Roman Tj" w:cs="Times New Roman"/>
          <w:sz w:val="28"/>
          <w:szCs w:val="28"/>
          <w:lang w:val="tg-Cyrl-TJ"/>
        </w:rPr>
      </w:pPr>
      <w:r w:rsidRPr="00B676B6">
        <w:rPr>
          <w:rFonts w:ascii="Times New Roman Tj" w:eastAsiaTheme="minorHAnsi" w:hAnsi="Times New Roman Tj" w:cs="Times New Roman"/>
          <w:sz w:val="28"/>
          <w:szCs w:val="28"/>
          <w:lang w:val="tg-Cyrl-TJ" w:eastAsia="en-US"/>
        </w:rPr>
        <w:lastRenderedPageBreak/>
        <w:t>inadequate funding of quality management teams in general education institutions.</w:t>
      </w:r>
    </w:p>
    <w:p w14:paraId="69F8AD1B" w14:textId="77777777" w:rsidR="00323B90" w:rsidRPr="00B676B6" w:rsidRDefault="00323B90" w:rsidP="00323B90">
      <w:pPr>
        <w:spacing w:after="0" w:line="276" w:lineRule="auto"/>
        <w:ind w:firstLine="426"/>
        <w:contextualSpacing/>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10. Ways to address the challenges in assessing the quality of education:  </w:t>
      </w:r>
    </w:p>
    <w:p w14:paraId="0415C9BE" w14:textId="77777777" w:rsidR="00323B90" w:rsidRPr="00B676B6" w:rsidRDefault="00323B90" w:rsidP="00323B90">
      <w:pPr>
        <w:spacing w:after="0" w:line="276" w:lineRule="auto"/>
        <w:ind w:firstLine="426"/>
        <w:contextualSpacing/>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development of assessment methods;  </w:t>
      </w:r>
    </w:p>
    <w:p w14:paraId="52E924D6" w14:textId="77777777" w:rsidR="00323B90" w:rsidRPr="00B676B6" w:rsidRDefault="00323B90" w:rsidP="00323B90">
      <w:pPr>
        <w:spacing w:after="0" w:line="276" w:lineRule="auto"/>
        <w:ind w:firstLine="426"/>
        <w:contextualSpacing/>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expansion of monitoring and evaluation of education quality at the national level;  </w:t>
      </w:r>
    </w:p>
    <w:p w14:paraId="55370307" w14:textId="77777777" w:rsidR="00323B90" w:rsidRPr="00B676B6" w:rsidRDefault="00323B90" w:rsidP="00323B90">
      <w:pPr>
        <w:spacing w:after="0" w:line="276" w:lineRule="auto"/>
        <w:ind w:firstLine="426"/>
        <w:contextualSpacing/>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revision of standards, curricula, and teacher professional development;  </w:t>
      </w:r>
    </w:p>
    <w:p w14:paraId="3A7C02DA" w14:textId="77777777" w:rsidR="00323B90" w:rsidRPr="00B676B6" w:rsidRDefault="00323B90" w:rsidP="00323B90">
      <w:pPr>
        <w:spacing w:after="0" w:line="276" w:lineRule="auto"/>
        <w:ind w:firstLine="426"/>
        <w:contextualSpacing/>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evaluation of educational literature (including textbooks);  </w:t>
      </w:r>
    </w:p>
    <w:p w14:paraId="428640D5" w14:textId="77777777" w:rsidR="00323B90" w:rsidRPr="00B676B6" w:rsidRDefault="00323B90" w:rsidP="00323B90">
      <w:pPr>
        <w:spacing w:after="0" w:line="276" w:lineRule="auto"/>
        <w:ind w:firstLine="426"/>
        <w:contextualSpacing/>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introduction of modern teaching technologies;  </w:t>
      </w:r>
    </w:p>
    <w:p w14:paraId="33720AD7" w14:textId="77777777" w:rsidR="00323B90" w:rsidRPr="00B676B6" w:rsidRDefault="00323B90" w:rsidP="00323B90">
      <w:pPr>
        <w:spacing w:after="0" w:line="276" w:lineRule="auto"/>
        <w:ind w:firstLine="426"/>
        <w:contextualSpacing/>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emphasis on developing critical and creative thinking skills in the learning process;  </w:t>
      </w:r>
    </w:p>
    <w:p w14:paraId="39169D51" w14:textId="77777777" w:rsidR="00323B90" w:rsidRPr="00B676B6" w:rsidRDefault="00323B90" w:rsidP="00323B90">
      <w:pPr>
        <w:spacing w:after="0" w:line="276" w:lineRule="auto"/>
        <w:ind w:firstLine="426"/>
        <w:contextualSpacing/>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support for inclusive education taking into account the diverse needs of learners;  </w:t>
      </w:r>
    </w:p>
    <w:p w14:paraId="339E03A5" w14:textId="77777777" w:rsidR="00323B90" w:rsidRPr="00B676B6" w:rsidRDefault="00323B90" w:rsidP="00323B90">
      <w:pPr>
        <w:spacing w:after="0" w:line="276" w:lineRule="auto"/>
        <w:ind w:firstLine="426"/>
        <w:contextualSpacing/>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ensuring transparency and accessibility of information on education quality for effective management and addressing shortcomings in this area;  </w:t>
      </w:r>
    </w:p>
    <w:p w14:paraId="4FFE94E7" w14:textId="77777777" w:rsidR="00323B90" w:rsidRPr="00B676B6" w:rsidRDefault="00323B90" w:rsidP="00323B90">
      <w:pPr>
        <w:spacing w:after="0" w:line="276" w:lineRule="auto"/>
        <w:ind w:firstLine="426"/>
        <w:contextualSpacing/>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involvement of relevant authorities in the process of developing and revising standards, curricula, and programs;  </w:t>
      </w:r>
    </w:p>
    <w:p w14:paraId="05AE20D1" w14:textId="74A33217" w:rsidR="00344F80" w:rsidRPr="00B676B6" w:rsidRDefault="00323B90" w:rsidP="00323B90">
      <w:pPr>
        <w:spacing w:after="0" w:line="276" w:lineRule="auto"/>
        <w:ind w:firstLine="426"/>
        <w:contextualSpacing/>
        <w:jc w:val="both"/>
        <w:rPr>
          <w:rFonts w:ascii="Times New Roman Tj" w:hAnsi="Times New Roman Tj" w:cs="Times New Roman"/>
          <w:sz w:val="28"/>
          <w:szCs w:val="28"/>
          <w:lang w:val="tg-Cyrl-TJ"/>
        </w:rPr>
      </w:pPr>
      <w:r w:rsidRPr="00B676B6">
        <w:rPr>
          <w:rFonts w:ascii="Times New Roman Tj" w:eastAsia="Times New Roman" w:hAnsi="Times New Roman Tj" w:cs="Times New Roman"/>
          <w:sz w:val="28"/>
          <w:szCs w:val="28"/>
          <w:lang w:val="tg-Cyrl-TJ" w:eastAsia="ru-RU"/>
        </w:rPr>
        <w:t>- support for pedagogical research to identify innovative teaching methods, as well as ensuring equal opportunities and access to education for all segments of society.</w:t>
      </w:r>
      <w:r w:rsidR="009E3F4C" w:rsidRPr="00B676B6">
        <w:rPr>
          <w:rFonts w:ascii="Times New Roman Tj" w:hAnsi="Times New Roman Tj" w:cs="Times New Roman"/>
          <w:bCs/>
          <w:sz w:val="28"/>
          <w:szCs w:val="28"/>
          <w:lang w:val="tg-Cyrl-TJ"/>
        </w:rPr>
        <w:tab/>
      </w:r>
    </w:p>
    <w:p w14:paraId="694A6EF7" w14:textId="77777777" w:rsidR="00B676B6" w:rsidRPr="00B676B6" w:rsidRDefault="00B676B6" w:rsidP="00323B90">
      <w:pPr>
        <w:pStyle w:val="a3"/>
        <w:spacing w:before="0" w:beforeAutospacing="0" w:after="0" w:afterAutospacing="0" w:line="276" w:lineRule="auto"/>
        <w:ind w:firstLine="567"/>
        <w:contextualSpacing/>
        <w:jc w:val="center"/>
        <w:rPr>
          <w:rFonts w:ascii="Times New Roman Tj" w:eastAsiaTheme="minorHAnsi" w:hAnsi="Times New Roman Tj"/>
          <w:sz w:val="28"/>
          <w:szCs w:val="28"/>
          <w:lang w:val="tg-Cyrl-TJ" w:eastAsia="en-US"/>
        </w:rPr>
      </w:pPr>
    </w:p>
    <w:p w14:paraId="6F70FB1B" w14:textId="00F244EA" w:rsidR="00323B90" w:rsidRPr="00B676B6" w:rsidRDefault="00323B90" w:rsidP="00323B90">
      <w:pPr>
        <w:pStyle w:val="a3"/>
        <w:spacing w:before="0" w:beforeAutospacing="0" w:after="0" w:afterAutospacing="0" w:line="276" w:lineRule="auto"/>
        <w:ind w:firstLine="567"/>
        <w:contextualSpacing/>
        <w:jc w:val="center"/>
        <w:rPr>
          <w:rFonts w:ascii="Times New Roman Tj" w:eastAsiaTheme="minorHAnsi" w:hAnsi="Times New Roman Tj"/>
          <w:sz w:val="28"/>
          <w:szCs w:val="28"/>
          <w:lang w:val="tg-Cyrl-TJ" w:eastAsia="en-US"/>
        </w:rPr>
      </w:pPr>
      <w:r w:rsidRPr="00B676B6">
        <w:rPr>
          <w:rFonts w:ascii="Times New Roman Tj" w:eastAsiaTheme="minorHAnsi" w:hAnsi="Times New Roman Tj"/>
          <w:sz w:val="28"/>
          <w:szCs w:val="28"/>
          <w:lang w:val="tg-Cyrl-TJ" w:eastAsia="en-US"/>
        </w:rPr>
        <w:t>4. PURPOSE AND OBJECTIVES OF THE STRATEGY</w:t>
      </w:r>
    </w:p>
    <w:p w14:paraId="64C6E16A" w14:textId="4A080CA8" w:rsidR="005C275F" w:rsidRPr="00B676B6" w:rsidRDefault="00323B90" w:rsidP="005C275F">
      <w:pPr>
        <w:pStyle w:val="a3"/>
        <w:spacing w:before="0" w:beforeAutospacing="0" w:after="0" w:afterAutospacing="0" w:line="276" w:lineRule="auto"/>
        <w:ind w:firstLine="567"/>
        <w:contextualSpacing/>
        <w:jc w:val="both"/>
        <w:rPr>
          <w:rFonts w:ascii="Times New Roman Tj" w:hAnsi="Times New Roman Tj" w:cstheme="majorBidi"/>
          <w:sz w:val="28"/>
          <w:szCs w:val="28"/>
          <w:lang w:val="tg-Cyrl-TJ"/>
        </w:rPr>
      </w:pPr>
      <w:r w:rsidRPr="00B676B6">
        <w:rPr>
          <w:rFonts w:ascii="Times New Roman Tj" w:hAnsi="Times New Roman Tj" w:cs="Cambria"/>
          <w:sz w:val="28"/>
          <w:szCs w:val="28"/>
          <w:lang w:val="tg-Cyrl-TJ"/>
        </w:rPr>
        <w:t>11. The purpose of developing the Strategy is to improve the quality of education, regulate the national assessment system, and align the country’s education system with international standards at all levels of education. The Strategy contributes to the intellectual development of teachers and educators in order to enhance educational and methodological activities (methodological support, professional development, and training of future teachers within the framework of vocational education).</w:t>
      </w:r>
    </w:p>
    <w:p w14:paraId="36981D67" w14:textId="77777777" w:rsidR="00323B90" w:rsidRPr="00B676B6" w:rsidRDefault="00323B90" w:rsidP="00323B90">
      <w:pPr>
        <w:pStyle w:val="a3"/>
        <w:spacing w:after="0" w:line="276" w:lineRule="auto"/>
        <w:ind w:firstLine="567"/>
        <w:contextualSpacing/>
        <w:jc w:val="both"/>
        <w:rPr>
          <w:rFonts w:ascii="Times New Roman Tj" w:eastAsiaTheme="minorHAnsi" w:hAnsi="Times New Roman Tj" w:cstheme="majorBidi"/>
          <w:sz w:val="28"/>
          <w:szCs w:val="28"/>
          <w:lang w:val="tg-Cyrl-TJ" w:eastAsia="en-US"/>
        </w:rPr>
      </w:pPr>
      <w:r w:rsidRPr="00B676B6">
        <w:rPr>
          <w:rFonts w:ascii="Times New Roman Tj" w:eastAsiaTheme="minorHAnsi" w:hAnsi="Times New Roman Tj" w:cstheme="majorBidi"/>
          <w:sz w:val="28"/>
          <w:szCs w:val="28"/>
          <w:lang w:val="tg-Cyrl-TJ" w:eastAsia="en-US"/>
        </w:rPr>
        <w:t xml:space="preserve">12. This Strategy contributes to the achievement of the following goals:  </w:t>
      </w:r>
    </w:p>
    <w:p w14:paraId="04ACC706" w14:textId="77777777" w:rsidR="00323B90" w:rsidRPr="00B676B6" w:rsidRDefault="00323B90" w:rsidP="00323B90">
      <w:pPr>
        <w:pStyle w:val="a3"/>
        <w:spacing w:after="0" w:line="276" w:lineRule="auto"/>
        <w:ind w:firstLine="567"/>
        <w:contextualSpacing/>
        <w:jc w:val="both"/>
        <w:rPr>
          <w:rFonts w:ascii="Times New Roman Tj" w:eastAsiaTheme="minorHAnsi" w:hAnsi="Times New Roman Tj" w:cstheme="majorBidi"/>
          <w:sz w:val="28"/>
          <w:szCs w:val="28"/>
          <w:lang w:val="tg-Cyrl-TJ" w:eastAsia="en-US"/>
        </w:rPr>
      </w:pPr>
      <w:r w:rsidRPr="00B676B6">
        <w:rPr>
          <w:rFonts w:ascii="Times New Roman Tj" w:eastAsiaTheme="minorHAnsi" w:hAnsi="Times New Roman Tj" w:cstheme="majorBidi"/>
          <w:sz w:val="28"/>
          <w:szCs w:val="28"/>
          <w:lang w:val="tg-Cyrl-TJ" w:eastAsia="en-US"/>
        </w:rPr>
        <w:t xml:space="preserve">- alignment of educational programs with subject standards;  </w:t>
      </w:r>
    </w:p>
    <w:p w14:paraId="735BD30B" w14:textId="77777777" w:rsidR="00323B90" w:rsidRPr="00B676B6" w:rsidRDefault="00323B90" w:rsidP="00323B90">
      <w:pPr>
        <w:pStyle w:val="a3"/>
        <w:spacing w:after="0" w:line="276" w:lineRule="auto"/>
        <w:ind w:firstLine="567"/>
        <w:contextualSpacing/>
        <w:jc w:val="both"/>
        <w:rPr>
          <w:rFonts w:ascii="Times New Roman Tj" w:eastAsiaTheme="minorHAnsi" w:hAnsi="Times New Roman Tj" w:cstheme="majorBidi"/>
          <w:sz w:val="28"/>
          <w:szCs w:val="28"/>
          <w:lang w:val="tg-Cyrl-TJ" w:eastAsia="en-US"/>
        </w:rPr>
      </w:pPr>
      <w:r w:rsidRPr="00B676B6">
        <w:rPr>
          <w:rFonts w:ascii="Times New Roman Tj" w:eastAsiaTheme="minorHAnsi" w:hAnsi="Times New Roman Tj" w:cstheme="majorBidi"/>
          <w:sz w:val="28"/>
          <w:szCs w:val="28"/>
          <w:lang w:val="tg-Cyrl-TJ" w:eastAsia="en-US"/>
        </w:rPr>
        <w:t xml:space="preserve">- ensuring the assessment of educational programs;  </w:t>
      </w:r>
    </w:p>
    <w:p w14:paraId="24BC5119" w14:textId="77777777" w:rsidR="00323B90" w:rsidRPr="00B676B6" w:rsidRDefault="00323B90" w:rsidP="00323B90">
      <w:pPr>
        <w:pStyle w:val="a3"/>
        <w:spacing w:after="0" w:line="276" w:lineRule="auto"/>
        <w:ind w:firstLine="567"/>
        <w:contextualSpacing/>
        <w:jc w:val="both"/>
        <w:rPr>
          <w:rFonts w:ascii="Times New Roman Tj" w:eastAsiaTheme="minorHAnsi" w:hAnsi="Times New Roman Tj" w:cstheme="majorBidi"/>
          <w:sz w:val="28"/>
          <w:szCs w:val="28"/>
          <w:lang w:val="tg-Cyrl-TJ" w:eastAsia="en-US"/>
        </w:rPr>
      </w:pPr>
      <w:r w:rsidRPr="00B676B6">
        <w:rPr>
          <w:rFonts w:ascii="Times New Roman Tj" w:eastAsiaTheme="minorHAnsi" w:hAnsi="Times New Roman Tj" w:cstheme="majorBidi"/>
          <w:sz w:val="28"/>
          <w:szCs w:val="28"/>
          <w:lang w:val="tg-Cyrl-TJ" w:eastAsia="en-US"/>
        </w:rPr>
        <w:t xml:space="preserve">- ensuring the quality of educational literature;  </w:t>
      </w:r>
    </w:p>
    <w:p w14:paraId="677FE88C" w14:textId="77777777" w:rsidR="00323B90" w:rsidRPr="00B676B6" w:rsidRDefault="00323B90" w:rsidP="00323B90">
      <w:pPr>
        <w:pStyle w:val="a3"/>
        <w:spacing w:after="0" w:line="276" w:lineRule="auto"/>
        <w:ind w:firstLine="567"/>
        <w:contextualSpacing/>
        <w:jc w:val="both"/>
        <w:rPr>
          <w:rFonts w:ascii="Times New Roman Tj" w:eastAsiaTheme="minorHAnsi" w:hAnsi="Times New Roman Tj" w:cstheme="majorBidi"/>
          <w:sz w:val="28"/>
          <w:szCs w:val="28"/>
          <w:lang w:val="tg-Cyrl-TJ" w:eastAsia="en-US"/>
        </w:rPr>
      </w:pPr>
      <w:r w:rsidRPr="00B676B6">
        <w:rPr>
          <w:rFonts w:ascii="Times New Roman Tj" w:eastAsiaTheme="minorHAnsi" w:hAnsi="Times New Roman Tj" w:cstheme="majorBidi"/>
          <w:sz w:val="28"/>
          <w:szCs w:val="28"/>
          <w:lang w:val="tg-Cyrl-TJ" w:eastAsia="en-US"/>
        </w:rPr>
        <w:t xml:space="preserve">- assessment of the academic performance of pupils and students;  </w:t>
      </w:r>
    </w:p>
    <w:p w14:paraId="3109331A" w14:textId="77777777" w:rsidR="00323B90" w:rsidRPr="00B676B6" w:rsidRDefault="00323B90" w:rsidP="00323B90">
      <w:pPr>
        <w:pStyle w:val="a3"/>
        <w:spacing w:after="0" w:line="276" w:lineRule="auto"/>
        <w:ind w:firstLine="567"/>
        <w:contextualSpacing/>
        <w:jc w:val="both"/>
        <w:rPr>
          <w:rFonts w:ascii="Times New Roman Tj" w:eastAsiaTheme="minorHAnsi" w:hAnsi="Times New Roman Tj" w:cstheme="majorBidi"/>
          <w:sz w:val="28"/>
          <w:szCs w:val="28"/>
          <w:lang w:val="tg-Cyrl-TJ" w:eastAsia="en-US"/>
        </w:rPr>
      </w:pPr>
      <w:r w:rsidRPr="00B676B6">
        <w:rPr>
          <w:rFonts w:ascii="Times New Roman Tj" w:eastAsiaTheme="minorHAnsi" w:hAnsi="Times New Roman Tj" w:cstheme="majorBidi"/>
          <w:sz w:val="28"/>
          <w:szCs w:val="28"/>
          <w:lang w:val="tg-Cyrl-TJ" w:eastAsia="en-US"/>
        </w:rPr>
        <w:t xml:space="preserve">- monitoring the achievements of pupils and students;  </w:t>
      </w:r>
    </w:p>
    <w:p w14:paraId="48FA4A08" w14:textId="77777777" w:rsidR="00323B90" w:rsidRPr="00B676B6" w:rsidRDefault="00323B90" w:rsidP="00323B90">
      <w:pPr>
        <w:pStyle w:val="a3"/>
        <w:spacing w:after="0" w:line="276" w:lineRule="auto"/>
        <w:ind w:firstLine="567"/>
        <w:contextualSpacing/>
        <w:jc w:val="both"/>
        <w:rPr>
          <w:rFonts w:ascii="Times New Roman Tj" w:eastAsiaTheme="minorHAnsi" w:hAnsi="Times New Roman Tj" w:cstheme="majorBidi"/>
          <w:sz w:val="28"/>
          <w:szCs w:val="28"/>
          <w:lang w:val="tg-Cyrl-TJ" w:eastAsia="en-US"/>
        </w:rPr>
      </w:pPr>
      <w:r w:rsidRPr="00B676B6">
        <w:rPr>
          <w:rFonts w:ascii="Times New Roman Tj" w:eastAsiaTheme="minorHAnsi" w:hAnsi="Times New Roman Tj" w:cstheme="majorBidi"/>
          <w:sz w:val="28"/>
          <w:szCs w:val="28"/>
          <w:lang w:val="tg-Cyrl-TJ" w:eastAsia="en-US"/>
        </w:rPr>
        <w:t xml:space="preserve">- establishment of a modern mechanism for evaluation and monitoring of national education standards;  </w:t>
      </w:r>
    </w:p>
    <w:p w14:paraId="44F6E9BA" w14:textId="77777777" w:rsidR="00323B90" w:rsidRPr="00B676B6" w:rsidRDefault="00323B90" w:rsidP="00323B90">
      <w:pPr>
        <w:pStyle w:val="a3"/>
        <w:spacing w:after="0" w:line="276" w:lineRule="auto"/>
        <w:ind w:firstLine="567"/>
        <w:contextualSpacing/>
        <w:jc w:val="both"/>
        <w:rPr>
          <w:rFonts w:ascii="Times New Roman Tj" w:eastAsiaTheme="minorHAnsi" w:hAnsi="Times New Roman Tj" w:cstheme="majorBidi"/>
          <w:sz w:val="28"/>
          <w:szCs w:val="28"/>
          <w:lang w:val="tg-Cyrl-TJ" w:eastAsia="en-US"/>
        </w:rPr>
      </w:pPr>
      <w:r w:rsidRPr="00B676B6">
        <w:rPr>
          <w:rFonts w:ascii="Times New Roman Tj" w:eastAsiaTheme="minorHAnsi" w:hAnsi="Times New Roman Tj" w:cstheme="majorBidi"/>
          <w:sz w:val="28"/>
          <w:szCs w:val="28"/>
          <w:lang w:val="tg-Cyrl-TJ" w:eastAsia="en-US"/>
        </w:rPr>
        <w:t xml:space="preserve">- laying the foundation for national and international assessments;  </w:t>
      </w:r>
    </w:p>
    <w:p w14:paraId="4F714FB9" w14:textId="77777777" w:rsidR="00323B90" w:rsidRPr="00B676B6" w:rsidRDefault="00323B90" w:rsidP="00323B90">
      <w:pPr>
        <w:pStyle w:val="a3"/>
        <w:spacing w:after="0" w:line="276" w:lineRule="auto"/>
        <w:ind w:firstLine="567"/>
        <w:contextualSpacing/>
        <w:jc w:val="both"/>
        <w:rPr>
          <w:rFonts w:ascii="Times New Roman Tj" w:eastAsiaTheme="minorHAnsi" w:hAnsi="Times New Roman Tj" w:cstheme="majorBidi"/>
          <w:sz w:val="28"/>
          <w:szCs w:val="28"/>
          <w:lang w:val="tg-Cyrl-TJ" w:eastAsia="en-US"/>
        </w:rPr>
      </w:pPr>
      <w:r w:rsidRPr="00B676B6">
        <w:rPr>
          <w:rFonts w:ascii="Times New Roman Tj" w:eastAsiaTheme="minorHAnsi" w:hAnsi="Times New Roman Tj" w:cstheme="majorBidi"/>
          <w:sz w:val="28"/>
          <w:szCs w:val="28"/>
          <w:lang w:val="tg-Cyrl-TJ" w:eastAsia="en-US"/>
        </w:rPr>
        <w:t xml:space="preserve">- systematization of the management of the educational process;  </w:t>
      </w:r>
    </w:p>
    <w:p w14:paraId="2B43B3E9" w14:textId="77777777" w:rsidR="00323B90" w:rsidRPr="00B676B6" w:rsidRDefault="00323B90" w:rsidP="00323B90">
      <w:pPr>
        <w:pStyle w:val="a3"/>
        <w:spacing w:before="0" w:beforeAutospacing="0" w:after="0" w:afterAutospacing="0" w:line="276" w:lineRule="auto"/>
        <w:ind w:firstLine="567"/>
        <w:contextualSpacing/>
        <w:jc w:val="both"/>
        <w:rPr>
          <w:rFonts w:ascii="Times New Roman Tj" w:eastAsiaTheme="minorHAnsi" w:hAnsi="Times New Roman Tj" w:cstheme="majorBidi"/>
          <w:sz w:val="28"/>
          <w:szCs w:val="28"/>
          <w:lang w:val="tg-Cyrl-TJ" w:eastAsia="en-US"/>
        </w:rPr>
      </w:pPr>
      <w:r w:rsidRPr="00B676B6">
        <w:rPr>
          <w:rFonts w:ascii="Times New Roman Tj" w:eastAsiaTheme="minorHAnsi" w:hAnsi="Times New Roman Tj" w:cstheme="majorBidi"/>
          <w:sz w:val="28"/>
          <w:szCs w:val="28"/>
          <w:lang w:val="tg-Cyrl-TJ" w:eastAsia="en-US"/>
        </w:rPr>
        <w:lastRenderedPageBreak/>
        <w:t>- strengthening the material and technical base.</w:t>
      </w:r>
    </w:p>
    <w:p w14:paraId="52A7B300" w14:textId="77777777" w:rsidR="00323B9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xml:space="preserve">13. Objectives of the Strategy:  </w:t>
      </w:r>
    </w:p>
    <w:p w14:paraId="068AEFE7" w14:textId="77777777" w:rsidR="00323B9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xml:space="preserve">- improvement of the teaching and educational process;  </w:t>
      </w:r>
    </w:p>
    <w:p w14:paraId="1B222FC9" w14:textId="77777777" w:rsidR="00323B9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xml:space="preserve">- obtaining information about students’ achievements;  </w:t>
      </w:r>
    </w:p>
    <w:p w14:paraId="098FF4B6" w14:textId="77777777" w:rsidR="00323B9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xml:space="preserve">- effective use of assessment results;  </w:t>
      </w:r>
    </w:p>
    <w:p w14:paraId="72AB908D" w14:textId="77777777" w:rsidR="00323B9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xml:space="preserve">- improvement of educational standards, curricula, and academic programs;  </w:t>
      </w:r>
    </w:p>
    <w:p w14:paraId="3AD57865" w14:textId="77777777" w:rsidR="00323B9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xml:space="preserve">- conducting assessments to enhance the quality of education at the academic-instructional, institutional, and national levels for participation in international assessments;  </w:t>
      </w:r>
    </w:p>
    <w:p w14:paraId="2A78883E" w14:textId="77777777" w:rsidR="00323B9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xml:space="preserve">- establishing close cooperation among teachers, students and pupils, parents (or legal guardians), educational institutions, and civil society in the process of assessing education quality;  </w:t>
      </w:r>
    </w:p>
    <w:p w14:paraId="6D0F8C49" w14:textId="77777777" w:rsidR="00323B9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xml:space="preserve">- development of programs, modules, methodological guidelines, and preparation of national and regional-level trainers on issues of educational quality assessment;  </w:t>
      </w:r>
    </w:p>
    <w:p w14:paraId="0885BD97" w14:textId="77777777" w:rsidR="00323B9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xml:space="preserve">- phased training of general education teachers on the use of the national mechanism for assessing education quality;  </w:t>
      </w:r>
    </w:p>
    <w:p w14:paraId="0DC70115" w14:textId="77777777" w:rsidR="00323B9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xml:space="preserve">- development of manuals and guidance for managerial staff (heads of departments, division heads, and leaders of quality management groups in educational institutions) to ensure effective assessment;  </w:t>
      </w:r>
    </w:p>
    <w:p w14:paraId="26813116" w14:textId="77777777" w:rsidR="00323B9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xml:space="preserve">- organization of training seminars for specialists and teachers on the use of developed tools for assessing the quality of education at all levels;  </w:t>
      </w:r>
    </w:p>
    <w:p w14:paraId="4544E425" w14:textId="77777777" w:rsidR="00323B9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xml:space="preserve">- implementation of modern educational technologies for assessment;  </w:t>
      </w:r>
    </w:p>
    <w:p w14:paraId="47CC5A39" w14:textId="5BD8D000" w:rsidR="00344F80" w:rsidRPr="00B676B6" w:rsidRDefault="00323B90" w:rsidP="00323B90">
      <w:pPr>
        <w:spacing w:after="0" w:line="276" w:lineRule="auto"/>
        <w:ind w:firstLine="567"/>
        <w:contextualSpacing/>
        <w:jc w:val="both"/>
        <w:rPr>
          <w:rFonts w:ascii="Times New Roman Tj" w:eastAsiaTheme="minorEastAsia" w:hAnsi="Times New Roman Tj" w:cstheme="majorBidi"/>
          <w:sz w:val="28"/>
          <w:szCs w:val="28"/>
          <w:lang w:val="tg-Cyrl-TJ" w:eastAsia="ru-RU"/>
        </w:rPr>
      </w:pPr>
      <w:r w:rsidRPr="00B676B6">
        <w:rPr>
          <w:rFonts w:ascii="Times New Roman Tj" w:eastAsiaTheme="minorEastAsia" w:hAnsi="Times New Roman Tj" w:cstheme="majorBidi"/>
          <w:sz w:val="28"/>
          <w:szCs w:val="28"/>
          <w:lang w:val="tg-Cyrl-TJ" w:eastAsia="ru-RU"/>
        </w:rPr>
        <w:t>- planning of activities to introduce changes into the national education assessment system through seminars and conferences.</w:t>
      </w:r>
    </w:p>
    <w:p w14:paraId="27B08989" w14:textId="77777777" w:rsidR="00B676B6" w:rsidRPr="00B676B6" w:rsidRDefault="00B676B6" w:rsidP="00323B90">
      <w:pPr>
        <w:spacing w:after="0" w:line="276" w:lineRule="auto"/>
        <w:ind w:firstLine="567"/>
        <w:contextualSpacing/>
        <w:jc w:val="both"/>
        <w:rPr>
          <w:rFonts w:ascii="Times New Roman Tj" w:hAnsi="Times New Roman Tj" w:cs="Times New Roman"/>
          <w:strike/>
          <w:sz w:val="28"/>
          <w:szCs w:val="28"/>
          <w:lang w:val="tg-Cyrl-TJ"/>
        </w:rPr>
      </w:pPr>
    </w:p>
    <w:p w14:paraId="058EC52E" w14:textId="77777777" w:rsidR="00323B90" w:rsidRPr="00B676B6" w:rsidRDefault="00323B90" w:rsidP="00C1667F">
      <w:pPr>
        <w:spacing w:after="0" w:line="276" w:lineRule="auto"/>
        <w:ind w:firstLine="567"/>
        <w:contextualSpacing/>
        <w:jc w:val="both"/>
        <w:rPr>
          <w:rFonts w:ascii="Times New Roman Tj" w:hAnsi="Times New Roman Tj" w:cs="Times New Roman"/>
          <w:sz w:val="28"/>
          <w:szCs w:val="28"/>
          <w:lang w:val="tg-Cyrl-TJ"/>
        </w:rPr>
      </w:pPr>
      <w:r w:rsidRPr="00B676B6">
        <w:rPr>
          <w:rFonts w:ascii="Times New Roman Tj" w:hAnsi="Times New Roman Tj" w:cs="Times New Roman"/>
          <w:sz w:val="28"/>
          <w:szCs w:val="28"/>
          <w:lang w:val="tg-Cyrl-TJ"/>
        </w:rPr>
        <w:t>5. MAIN DIRECTIONS AND INDICATORS OF THE STRATEGY</w:t>
      </w:r>
    </w:p>
    <w:p w14:paraId="6BBE9A56" w14:textId="77777777" w:rsidR="00323B90" w:rsidRPr="00B676B6" w:rsidRDefault="00323B90" w:rsidP="00323B90">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14. The Strategy covers the following aspects:  </w:t>
      </w:r>
    </w:p>
    <w:p w14:paraId="0A33CBDB" w14:textId="77777777" w:rsidR="00323B90" w:rsidRPr="00B676B6" w:rsidRDefault="00323B90" w:rsidP="00323B90">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management of the assessment process;  </w:t>
      </w:r>
    </w:p>
    <w:p w14:paraId="002058B8" w14:textId="77777777" w:rsidR="00323B90" w:rsidRPr="00B676B6" w:rsidRDefault="00323B90" w:rsidP="00323B90">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analysis of indicators;  </w:t>
      </w:r>
    </w:p>
    <w:p w14:paraId="73F83B3F" w14:textId="77777777" w:rsidR="00323B90" w:rsidRPr="00B676B6" w:rsidRDefault="00323B90" w:rsidP="00323B90">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personalization of the teaching and learning process;  </w:t>
      </w:r>
    </w:p>
    <w:p w14:paraId="1505C6C5" w14:textId="77777777" w:rsidR="00323B90" w:rsidRPr="00B676B6" w:rsidRDefault="00323B90" w:rsidP="00323B90">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professional development;  </w:t>
      </w:r>
    </w:p>
    <w:p w14:paraId="19A71E34" w14:textId="77777777" w:rsidR="00323B90" w:rsidRPr="00B676B6" w:rsidRDefault="00323B90" w:rsidP="00323B90">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revision of educational literature;  </w:t>
      </w:r>
    </w:p>
    <w:p w14:paraId="3B3E71EE" w14:textId="77777777" w:rsidR="00323B90" w:rsidRPr="00B676B6" w:rsidRDefault="00323B90" w:rsidP="00323B90">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digitalization of the learning process;  </w:t>
      </w:r>
    </w:p>
    <w:p w14:paraId="575C7354" w14:textId="65A58469" w:rsidR="00522731" w:rsidRPr="00B676B6" w:rsidRDefault="00323B90" w:rsidP="00323B90">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strengthening the skills and competencies of pupils and students.</w:t>
      </w:r>
      <w:r w:rsidR="00522731" w:rsidRPr="00B676B6">
        <w:rPr>
          <w:rFonts w:ascii="Times New Roman Tj" w:hAnsi="Times New Roman Tj" w:cs="Times New Roman"/>
          <w:bCs/>
          <w:sz w:val="28"/>
          <w:szCs w:val="28"/>
          <w:lang w:val="tg-Cyrl-TJ"/>
        </w:rPr>
        <w:t xml:space="preserve"> </w:t>
      </w:r>
    </w:p>
    <w:p w14:paraId="4AA7184A" w14:textId="77777777" w:rsidR="00323B90" w:rsidRPr="00B676B6" w:rsidRDefault="00323B90" w:rsidP="00081517">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15. The Strategy lays the foundation for achieving the goals of quality education development at all levels of education and ensuring competitiveness in the labor market in accordance with the national economy.</w:t>
      </w:r>
    </w:p>
    <w:p w14:paraId="7F7ECD4C"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16. The main directions for implementing the Strategy:  </w:t>
      </w:r>
    </w:p>
    <w:p w14:paraId="3E96E401"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lastRenderedPageBreak/>
        <w:t xml:space="preserve">- assessment policy and management, development and introduction of standards and assessment procedures, development of teaching materials and manuals for teachers;  </w:t>
      </w:r>
    </w:p>
    <w:p w14:paraId="3DB5DCE5"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formative and summative assessment, implementation of an assessment system that evaluates not only academic knowledge but also critical thinking, creativity, and collaboration skills;  </w:t>
      </w:r>
    </w:p>
    <w:p w14:paraId="04E81191"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digital technologies, integration of digital tools for assessment management, analysis of results, and personalized learning;  </w:t>
      </w:r>
    </w:p>
    <w:p w14:paraId="55F68905"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teacher professional development, continuous professional growth of teachers, exchange of best practices, and methodological support;  </w:t>
      </w:r>
    </w:p>
    <w:p w14:paraId="6DF35822"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studying the effectiveness of monitoring and analysis of the implementation of standards and curricula, taking into account their improvement and adaptation to the requirements of the modern era;  </w:t>
      </w:r>
    </w:p>
    <w:p w14:paraId="2B890FF5"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study, observation, and evaluation of the effectiveness of using modern assessment tools aimed at improving the quality of education, the level of knowledge, skills, and competencies of learners, and enhancing their content in accordance with international standards;  </w:t>
      </w:r>
    </w:p>
    <w:p w14:paraId="4435EA5E"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evaluation of the quality of test development to determine the level of knowledge, skills, and competencies of learners based on subject standards and curricula, with consideration for improvement and adaptation to modern norms;  </w:t>
      </w:r>
    </w:p>
    <w:p w14:paraId="636CF31C"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study and evaluation of the activities of departments and divisions of education, and leadership at all levels of education in ensuring the professional development of subject teachers and accurate and transparent assessment of students’ knowledge, skills, and competencies;  </w:t>
      </w:r>
    </w:p>
    <w:p w14:paraId="65B766A4"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evaluation of the effectiveness of implementing formative assessment in involving students in active learning, self-assessment during the learning process, and addressing identified challenges;  </w:t>
      </w:r>
    </w:p>
    <w:p w14:paraId="47E989E1"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development of methodological recommendations for subject teachers (in-class assessment);  </w:t>
      </w:r>
    </w:p>
    <w:p w14:paraId="6069E20A" w14:textId="655B5095" w:rsidR="002C4F23" w:rsidRPr="00B676B6" w:rsidRDefault="00B45186" w:rsidP="00B45186">
      <w:pPr>
        <w:spacing w:after="0" w:line="276" w:lineRule="auto"/>
        <w:ind w:firstLine="567"/>
        <w:contextualSpacing/>
        <w:jc w:val="both"/>
        <w:rPr>
          <w:rFonts w:ascii="Times New Roman Tj" w:hAnsi="Times New Roman Tj" w:cs="Times New Roman"/>
          <w:sz w:val="28"/>
          <w:szCs w:val="28"/>
          <w:lang w:val="tg-Cyrl-TJ"/>
        </w:rPr>
      </w:pPr>
      <w:r w:rsidRPr="00B676B6">
        <w:rPr>
          <w:rFonts w:ascii="Times New Roman Tj" w:hAnsi="Times New Roman Tj" w:cs="Times New Roman"/>
          <w:bCs/>
          <w:sz w:val="28"/>
          <w:szCs w:val="28"/>
          <w:lang w:val="tg-Cyrl-TJ"/>
        </w:rPr>
        <w:t>- study, observation, and research of the role of incentives for educational institutions in developing assessment tasks, analyzing the results of certification, centralized entrance examinations to secondary and higher vocational education institutions, and submitting reports to the Ministry of Education and Science of the Republic of Tajikistan.</w:t>
      </w:r>
      <w:r w:rsidR="002C4F23" w:rsidRPr="00B676B6">
        <w:rPr>
          <w:rFonts w:ascii="Times New Roman Tj" w:hAnsi="Times New Roman Tj" w:cs="Times New Roman"/>
          <w:sz w:val="28"/>
          <w:szCs w:val="28"/>
          <w:lang w:val="tg-Cyrl-TJ"/>
        </w:rPr>
        <w:tab/>
      </w:r>
    </w:p>
    <w:p w14:paraId="4770752F"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17. Development of effective analytical indicators based on international experience and considering the specific features of the national education system:  </w:t>
      </w:r>
    </w:p>
    <w:p w14:paraId="404C580D"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development of regulations on the national assessment system;  </w:t>
      </w:r>
    </w:p>
    <w:p w14:paraId="4BDACB9B"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lastRenderedPageBreak/>
        <w:t xml:space="preserve">- use of official indicators as a basis for implementing the educational process in educational institutions;  </w:t>
      </w:r>
    </w:p>
    <w:p w14:paraId="23C1CDD4"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activation of modern assessment mechanisms at the national level;  </w:t>
      </w:r>
    </w:p>
    <w:p w14:paraId="5D0213A8"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preparation of assessment questionnaires based on international assessment models;  </w:t>
      </w:r>
    </w:p>
    <w:p w14:paraId="33B90579"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development of methodological guidelines for authorized bodies in the field of assessment;  </w:t>
      </w:r>
    </w:p>
    <w:p w14:paraId="5C13CCF2"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conducting regular analyses of education quality using modern assessment tools;  </w:t>
      </w:r>
    </w:p>
    <w:p w14:paraId="7EAA3F85"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development of a unified questionnaire to identify problems and ways to address them in the implementation of quality education;  </w:t>
      </w:r>
    </w:p>
    <w:p w14:paraId="6453C8D3"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development and implementation of a support system for teachers in the educational process, based on the methodology of continuous professional development through diagnosis, planning, implementation, and review;  </w:t>
      </w:r>
    </w:p>
    <w:p w14:paraId="7D4C3C10"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development of educational programs for students with disabilities;  </w:t>
      </w:r>
    </w:p>
    <w:p w14:paraId="70A923DA"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establishment of ongoing cooperation between central and local government authorities based on analysis informed by assessment results;  </w:t>
      </w:r>
    </w:p>
    <w:p w14:paraId="23D14DB8"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conducting phased research using data from international assessments, considering the characteristics of the national education system;  </w:t>
      </w:r>
    </w:p>
    <w:p w14:paraId="2F9F587F"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introduction of assessment analysis methods at various levels and application of the process of diagnosis, planning, use, and review;  </w:t>
      </w:r>
    </w:p>
    <w:p w14:paraId="0F12D303"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strengthening the role of heads of educational institutions in the analysis and assurance of education quality based on the results of current and summative assessments;  </w:t>
      </w:r>
    </w:p>
    <w:p w14:paraId="6035C985"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improvement of teachers’ professional skills through modern teaching methods and technologies;  </w:t>
      </w:r>
    </w:p>
    <w:p w14:paraId="0A80CC56"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introduction of digital technologies in the monitoring process to improve the efficiency of the educational process;  </w:t>
      </w:r>
    </w:p>
    <w:p w14:paraId="0A2BAAA1"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development of educational, methodological materials and guidelines related to new assessment technologies;  </w:t>
      </w:r>
    </w:p>
    <w:p w14:paraId="483D9C7C" w14:textId="77777777" w:rsidR="00B45186" w:rsidRPr="00B676B6" w:rsidRDefault="00B45186" w:rsidP="00B45186">
      <w:pPr>
        <w:pStyle w:val="a5"/>
        <w:spacing w:after="0" w:line="276" w:lineRule="auto"/>
        <w:ind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xml:space="preserve">- active participation of the country in international assessments of education quality;  </w:t>
      </w:r>
    </w:p>
    <w:p w14:paraId="2A0E6311" w14:textId="77777777" w:rsidR="00B45186" w:rsidRPr="00B676B6" w:rsidRDefault="00B45186" w:rsidP="00B45186">
      <w:pPr>
        <w:pStyle w:val="a5"/>
        <w:spacing w:after="0" w:line="276" w:lineRule="auto"/>
        <w:ind w:left="0" w:firstLine="567"/>
        <w:jc w:val="both"/>
        <w:rPr>
          <w:rFonts w:ascii="Times New Roman Tj" w:eastAsia="Times New Roman" w:hAnsi="Times New Roman Tj" w:cs="Times New Roman"/>
          <w:sz w:val="28"/>
          <w:szCs w:val="28"/>
          <w:lang w:val="tg-Cyrl-TJ" w:eastAsia="ru-RU"/>
        </w:rPr>
      </w:pPr>
      <w:r w:rsidRPr="00B676B6">
        <w:rPr>
          <w:rFonts w:ascii="Times New Roman Tj" w:eastAsia="Times New Roman" w:hAnsi="Times New Roman Tj" w:cs="Times New Roman"/>
          <w:sz w:val="28"/>
          <w:szCs w:val="28"/>
          <w:lang w:val="tg-Cyrl-TJ" w:eastAsia="ru-RU"/>
        </w:rPr>
        <w:t>- provision of favorable conditions for participation in all types of assessments.</w:t>
      </w:r>
    </w:p>
    <w:p w14:paraId="77F8DB9D"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18. Assessment results serve as a basis for experience exchange, scientific and educational cooperation, and financial and technical support, and also contribute to the development of international relations in the field of education.  </w:t>
      </w:r>
    </w:p>
    <w:p w14:paraId="210E1A23"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lastRenderedPageBreak/>
        <w:t xml:space="preserve">19. The results of international assessments lay the foundation for the further improvement of teaching methodology and the introduction of modern assessment methods:  </w:t>
      </w:r>
    </w:p>
    <w:p w14:paraId="350D6D2F"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development of programs using the results of international assessments;  </w:t>
      </w:r>
    </w:p>
    <w:p w14:paraId="5F226DF4"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development of curricula and educational programs in accordance with international standards;  </w:t>
      </w:r>
    </w:p>
    <w:p w14:paraId="46E1073A"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improvement of teacher professional development course programs based on achieved assessment outcomes.  </w:t>
      </w:r>
    </w:p>
    <w:p w14:paraId="41DF10E4"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20. Target indicators:  </w:t>
      </w:r>
    </w:p>
    <w:p w14:paraId="2597C5FC"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improvement of education quality in accordance with national education standards at all levels and international assessments;  </w:t>
      </w:r>
    </w:p>
    <w:p w14:paraId="4A930F24"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demand for graduates of vocational education institutions in the labor market and their contribution to national economic development;  </w:t>
      </w:r>
    </w:p>
    <w:p w14:paraId="06B8B392"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strengthening of the material-technical base and digital technologies;  </w:t>
      </w:r>
    </w:p>
    <w:p w14:paraId="76CD9332"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 xml:space="preserve">- formation of a competitive, creative, and innovative environment among teachers and students.  </w:t>
      </w:r>
    </w:p>
    <w:p w14:paraId="39687E8B"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cs="Times New Roman"/>
          <w:bCs/>
          <w:sz w:val="28"/>
          <w:szCs w:val="28"/>
          <w:lang w:val="tg-Cyrl-TJ"/>
        </w:rPr>
        <w:t>21. At the final stage of the Strategy’s implementation, the quality of education at all levels will be ensured, and the achievement rate will be raised to 100 percent.</w:t>
      </w:r>
    </w:p>
    <w:p w14:paraId="600419E5"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t-RU"/>
        </w:rPr>
      </w:pPr>
      <w:r w:rsidRPr="00B676B6">
        <w:rPr>
          <w:rFonts w:ascii="Times New Roman Tj" w:hAnsi="Times New Roman Tj" w:cs="Times New Roman"/>
          <w:bCs/>
          <w:sz w:val="28"/>
          <w:szCs w:val="28"/>
          <w:lang w:val="tt-RU"/>
        </w:rPr>
        <w:t xml:space="preserve">22. Learning outcomes and the development of core and subject-specific competencies contribute to improving the quality of education:  </w:t>
      </w:r>
    </w:p>
    <w:p w14:paraId="18625E14" w14:textId="77777777" w:rsidR="00B45186" w:rsidRPr="00B676B6" w:rsidRDefault="00B45186" w:rsidP="00B45186">
      <w:pPr>
        <w:spacing w:after="0" w:line="276" w:lineRule="auto"/>
        <w:ind w:firstLine="567"/>
        <w:contextualSpacing/>
        <w:jc w:val="both"/>
        <w:rPr>
          <w:rFonts w:ascii="Times New Roman Tj" w:hAnsi="Times New Roman Tj" w:cs="Times New Roman"/>
          <w:bCs/>
          <w:sz w:val="28"/>
          <w:szCs w:val="28"/>
          <w:lang w:val="tt-RU"/>
        </w:rPr>
      </w:pPr>
      <w:r w:rsidRPr="00B676B6">
        <w:rPr>
          <w:rFonts w:ascii="Times New Roman Tj" w:hAnsi="Times New Roman Tj" w:cs="Times New Roman"/>
          <w:bCs/>
          <w:sz w:val="28"/>
          <w:szCs w:val="28"/>
          <w:lang w:val="tt-RU"/>
        </w:rPr>
        <w:t xml:space="preserve">- introduction of amendments and additions to regulatory legal acts in the field of education;  </w:t>
      </w:r>
    </w:p>
    <w:p w14:paraId="10BFF0B9" w14:textId="77777777" w:rsidR="00B45186" w:rsidRPr="00B676B6" w:rsidRDefault="00B45186" w:rsidP="009D0BC3">
      <w:pPr>
        <w:spacing w:after="0" w:line="276" w:lineRule="auto"/>
        <w:ind w:firstLine="567"/>
        <w:contextualSpacing/>
        <w:jc w:val="both"/>
        <w:rPr>
          <w:rFonts w:ascii="Times New Roman Tj" w:hAnsi="Times New Roman Tj" w:cs="Times New Roman"/>
          <w:bCs/>
          <w:sz w:val="28"/>
          <w:szCs w:val="28"/>
          <w:lang w:val="tt-RU"/>
        </w:rPr>
      </w:pPr>
      <w:r w:rsidRPr="00B676B6">
        <w:rPr>
          <w:rFonts w:ascii="Times New Roman Tj" w:hAnsi="Times New Roman Tj" w:cs="Times New Roman"/>
          <w:bCs/>
          <w:sz w:val="28"/>
          <w:szCs w:val="28"/>
          <w:lang w:val="tt-RU"/>
        </w:rPr>
        <w:t xml:space="preserve">- development of national education standards and subject-specific standards for preschool, general secondary, primary, secondary vocational, higher vocational, and postgraduate education, taking into account modern requirements and international standards;  </w:t>
      </w:r>
    </w:p>
    <w:p w14:paraId="2E829950" w14:textId="77777777" w:rsidR="00B45186" w:rsidRPr="00B676B6" w:rsidRDefault="00B45186" w:rsidP="009D0BC3">
      <w:pPr>
        <w:spacing w:after="0" w:line="276" w:lineRule="auto"/>
        <w:ind w:firstLine="567"/>
        <w:contextualSpacing/>
        <w:jc w:val="both"/>
        <w:rPr>
          <w:rFonts w:ascii="Times New Roman Tj" w:hAnsi="Times New Roman Tj" w:cs="Times New Roman"/>
          <w:bCs/>
          <w:sz w:val="28"/>
          <w:szCs w:val="28"/>
          <w:lang w:val="tt-RU"/>
        </w:rPr>
      </w:pPr>
      <w:r w:rsidRPr="00B676B6">
        <w:rPr>
          <w:rFonts w:ascii="Times New Roman Tj" w:hAnsi="Times New Roman Tj" w:cs="Times New Roman"/>
          <w:bCs/>
          <w:sz w:val="28"/>
          <w:szCs w:val="28"/>
          <w:lang w:val="tt-RU"/>
        </w:rPr>
        <w:t xml:space="preserve">- introduction of amendments and additions to curricula and academic programs at all levels of education, based on scientific achievements, the demands of employers and learners, and considering the main physiological and age characteristics of learners, including those with disabilities;  </w:t>
      </w:r>
    </w:p>
    <w:p w14:paraId="63405D10" w14:textId="7E63BD38" w:rsidR="00B45186" w:rsidRPr="00B676B6" w:rsidRDefault="00B45186" w:rsidP="009D0BC3">
      <w:pPr>
        <w:spacing w:after="0" w:line="276" w:lineRule="auto"/>
        <w:ind w:firstLine="567"/>
        <w:contextualSpacing/>
        <w:jc w:val="both"/>
        <w:rPr>
          <w:rFonts w:ascii="Times New Roman Tj" w:hAnsi="Times New Roman Tj" w:cs="Times New Roman"/>
          <w:bCs/>
          <w:sz w:val="28"/>
          <w:szCs w:val="28"/>
          <w:lang w:val="tt-RU"/>
        </w:rPr>
      </w:pPr>
      <w:r w:rsidRPr="00B676B6">
        <w:rPr>
          <w:rFonts w:ascii="Times New Roman Tj" w:hAnsi="Times New Roman Tj" w:cs="Times New Roman"/>
          <w:bCs/>
          <w:sz w:val="28"/>
          <w:szCs w:val="28"/>
          <w:lang w:val="tt-RU"/>
        </w:rPr>
        <w:t xml:space="preserve">- development and revision of the content of textbooks in accordance with the requirements of subject standards and academic programs;  </w:t>
      </w:r>
    </w:p>
    <w:p w14:paraId="373F2832" w14:textId="77777777" w:rsidR="00B45186" w:rsidRPr="00B676B6" w:rsidRDefault="00B45186" w:rsidP="009D0BC3">
      <w:pPr>
        <w:spacing w:after="0" w:line="276" w:lineRule="auto"/>
        <w:ind w:firstLine="567"/>
        <w:contextualSpacing/>
        <w:jc w:val="both"/>
        <w:rPr>
          <w:rFonts w:ascii="Times New Roman Tj" w:hAnsi="Times New Roman Tj" w:cs="Times New Roman"/>
          <w:bCs/>
          <w:sz w:val="28"/>
          <w:szCs w:val="28"/>
          <w:lang w:val="tt-RU"/>
        </w:rPr>
      </w:pPr>
      <w:r w:rsidRPr="00B676B6">
        <w:rPr>
          <w:rFonts w:ascii="Times New Roman Tj" w:hAnsi="Times New Roman Tj" w:cs="Times New Roman"/>
          <w:bCs/>
          <w:sz w:val="28"/>
          <w:szCs w:val="28"/>
          <w:lang w:val="tt-RU"/>
        </w:rPr>
        <w:t xml:space="preserve">- development of methodological guidelines and educational materials for teachers at all levels of education, taking into account the implementation of modern teaching technologies;  </w:t>
      </w:r>
    </w:p>
    <w:p w14:paraId="0CF5E9E6" w14:textId="77777777" w:rsidR="00B45186" w:rsidRPr="00B676B6" w:rsidRDefault="00B45186" w:rsidP="009D0BC3">
      <w:pPr>
        <w:spacing w:after="0" w:line="276" w:lineRule="auto"/>
        <w:ind w:firstLine="567"/>
        <w:contextualSpacing/>
        <w:jc w:val="both"/>
        <w:rPr>
          <w:rFonts w:ascii="Times New Roman Tj" w:hAnsi="Times New Roman Tj" w:cs="Times New Roman"/>
          <w:bCs/>
          <w:sz w:val="28"/>
          <w:szCs w:val="28"/>
          <w:lang w:val="tt-RU"/>
        </w:rPr>
      </w:pPr>
      <w:r w:rsidRPr="00B676B6">
        <w:rPr>
          <w:rFonts w:ascii="Times New Roman Tj" w:hAnsi="Times New Roman Tj" w:cs="Times New Roman"/>
          <w:bCs/>
          <w:sz w:val="28"/>
          <w:szCs w:val="28"/>
          <w:lang w:val="tt-RU"/>
        </w:rPr>
        <w:t xml:space="preserve">- determining the effectiveness of using modern educational technologies, equipping classrooms with modern tools, ensuring the integration of science and </w:t>
      </w:r>
      <w:r w:rsidRPr="00B676B6">
        <w:rPr>
          <w:rFonts w:ascii="Times New Roman Tj" w:hAnsi="Times New Roman Tj" w:cs="Times New Roman"/>
          <w:bCs/>
          <w:sz w:val="28"/>
          <w:szCs w:val="28"/>
          <w:lang w:val="tt-RU"/>
        </w:rPr>
        <w:lastRenderedPageBreak/>
        <w:t xml:space="preserve">production, and developing learners’ core and subject-specific competencies in the learning process to improve the quality of education;  </w:t>
      </w:r>
    </w:p>
    <w:p w14:paraId="4E673CCE" w14:textId="6F6B0BCB" w:rsidR="00F9682C" w:rsidRPr="00B676B6" w:rsidRDefault="00B45186" w:rsidP="009D0BC3">
      <w:pPr>
        <w:spacing w:after="0" w:line="276" w:lineRule="auto"/>
        <w:ind w:firstLine="567"/>
        <w:contextualSpacing/>
        <w:jc w:val="both"/>
        <w:rPr>
          <w:rFonts w:ascii="Times New Roman Tj" w:hAnsi="Times New Roman Tj" w:cs="Times New Roman"/>
          <w:bCs/>
          <w:sz w:val="28"/>
          <w:szCs w:val="28"/>
          <w:lang w:val="tt-RU"/>
        </w:rPr>
      </w:pPr>
      <w:r w:rsidRPr="00B676B6">
        <w:rPr>
          <w:rFonts w:ascii="Times New Roman Tj" w:hAnsi="Times New Roman Tj" w:cs="Times New Roman"/>
          <w:bCs/>
          <w:sz w:val="28"/>
          <w:szCs w:val="28"/>
          <w:lang w:val="tt-RU"/>
        </w:rPr>
        <w:t>- fulfillment of the requirements of subject standards and academic programs in educational institutions.</w:t>
      </w:r>
    </w:p>
    <w:p w14:paraId="78B06267" w14:textId="77777777" w:rsidR="00B676B6" w:rsidRPr="00B676B6" w:rsidRDefault="00B676B6" w:rsidP="009D0BC3">
      <w:pPr>
        <w:spacing w:after="0" w:line="276" w:lineRule="auto"/>
        <w:ind w:firstLine="567"/>
        <w:contextualSpacing/>
        <w:jc w:val="both"/>
        <w:rPr>
          <w:rFonts w:ascii="Times New Roman Tj" w:hAnsi="Times New Roman Tj" w:cs="Cambria"/>
          <w:sz w:val="28"/>
          <w:szCs w:val="28"/>
          <w:lang w:val="tg-Cyrl-TJ"/>
        </w:rPr>
      </w:pPr>
    </w:p>
    <w:p w14:paraId="339FA357" w14:textId="4C762EC5" w:rsidR="009D0BC3" w:rsidRPr="00B676B6" w:rsidRDefault="009D0BC3" w:rsidP="009D0BC3">
      <w:pPr>
        <w:spacing w:after="0" w:line="276" w:lineRule="auto"/>
        <w:ind w:firstLine="426"/>
        <w:contextualSpacing/>
        <w:jc w:val="center"/>
        <w:rPr>
          <w:rFonts w:ascii="Times New Roman Tj" w:hAnsi="Times New Roman Tj" w:cs="Cambria"/>
          <w:sz w:val="28"/>
          <w:szCs w:val="28"/>
          <w:lang w:val="tg-Cyrl-TJ"/>
        </w:rPr>
      </w:pPr>
      <w:r w:rsidRPr="00B676B6">
        <w:rPr>
          <w:rFonts w:ascii="Times New Roman Tj" w:hAnsi="Times New Roman Tj" w:cs="Cambria"/>
          <w:sz w:val="28"/>
          <w:szCs w:val="28"/>
          <w:lang w:val="tg-Cyrl-TJ"/>
        </w:rPr>
        <w:t>6. FUNDING OF THE PRESENT STRATEGY</w:t>
      </w:r>
    </w:p>
    <w:p w14:paraId="0E4A1354" w14:textId="77777777" w:rsidR="009D0BC3" w:rsidRPr="00B676B6" w:rsidRDefault="009D0BC3" w:rsidP="009D0BC3">
      <w:pPr>
        <w:spacing w:after="0" w:line="276" w:lineRule="auto"/>
        <w:ind w:firstLine="426"/>
        <w:contextualSpacing/>
        <w:jc w:val="both"/>
        <w:rPr>
          <w:rFonts w:ascii="Times New Roman Tj" w:hAnsi="Times New Roman Tj" w:cs="Cambria"/>
          <w:sz w:val="28"/>
          <w:szCs w:val="28"/>
          <w:lang w:val="tg-Cyrl-TJ"/>
        </w:rPr>
      </w:pPr>
      <w:r w:rsidRPr="00B676B6">
        <w:rPr>
          <w:rFonts w:ascii="Times New Roman Tj" w:hAnsi="Times New Roman Tj" w:cs="Cambria"/>
          <w:sz w:val="28"/>
          <w:szCs w:val="28"/>
          <w:lang w:val="tg-Cyrl-TJ"/>
        </w:rPr>
        <w:t xml:space="preserve">23. This Strategy shall be implemented through funding from the republican budget, which is allocated annually to the Ministry of Education and Science of the Republic of Tajikistan and other ministries and agencies that have educational institutions under their jurisdiction, as well as through foreign investments, international organizations and development partners, social partners, and other sources of funding not prohibited by the legislation of the Republic of Tajikistan.  </w:t>
      </w:r>
    </w:p>
    <w:p w14:paraId="1C888E0D" w14:textId="4AD4455F" w:rsidR="003A67E6" w:rsidRPr="00B676B6" w:rsidRDefault="009D0BC3" w:rsidP="009D0BC3">
      <w:pPr>
        <w:spacing w:after="0" w:line="276" w:lineRule="auto"/>
        <w:ind w:firstLine="426"/>
        <w:contextualSpacing/>
        <w:jc w:val="both"/>
        <w:rPr>
          <w:rFonts w:ascii="Times New Roman Tj" w:hAnsi="Times New Roman Tj"/>
          <w:sz w:val="28"/>
          <w:szCs w:val="28"/>
          <w:lang w:val="tg-Cyrl-TJ"/>
        </w:rPr>
      </w:pPr>
      <w:r w:rsidRPr="00B676B6">
        <w:rPr>
          <w:rFonts w:ascii="Times New Roman Tj" w:hAnsi="Times New Roman Tj" w:cs="Cambria"/>
          <w:sz w:val="28"/>
          <w:szCs w:val="28"/>
          <w:lang w:val="tg-Cyrl-TJ"/>
        </w:rPr>
        <w:t>24. The amount of funding shall be determined based on specific activities outlined in the Strategy’s action plan, which is developed for every three-year period.</w:t>
      </w:r>
    </w:p>
    <w:p w14:paraId="1825E01B" w14:textId="77777777" w:rsidR="002C4F23" w:rsidRPr="00B676B6" w:rsidRDefault="002C4F23" w:rsidP="002C4F23">
      <w:pPr>
        <w:spacing w:after="0" w:line="276" w:lineRule="auto"/>
        <w:ind w:firstLine="567"/>
        <w:contextualSpacing/>
        <w:jc w:val="both"/>
        <w:rPr>
          <w:rFonts w:ascii="Times New Roman Tj" w:hAnsi="Times New Roman Tj"/>
          <w:sz w:val="28"/>
          <w:szCs w:val="28"/>
          <w:lang w:val="tg-Cyrl-TJ"/>
        </w:rPr>
      </w:pPr>
    </w:p>
    <w:p w14:paraId="3FB5F30C" w14:textId="7DC51C04" w:rsidR="009D0BC3" w:rsidRPr="00B676B6" w:rsidRDefault="009D0BC3" w:rsidP="009D0BC3">
      <w:pPr>
        <w:spacing w:after="0" w:line="276" w:lineRule="auto"/>
        <w:ind w:firstLine="567"/>
        <w:contextualSpacing/>
        <w:jc w:val="center"/>
        <w:rPr>
          <w:rFonts w:ascii="Times New Roman Tj" w:hAnsi="Times New Roman Tj"/>
          <w:sz w:val="28"/>
          <w:szCs w:val="28"/>
          <w:lang w:val="tg-Cyrl-TJ"/>
        </w:rPr>
      </w:pPr>
      <w:r w:rsidRPr="00B676B6">
        <w:rPr>
          <w:rFonts w:ascii="Times New Roman Tj" w:hAnsi="Times New Roman Tj"/>
          <w:sz w:val="28"/>
          <w:szCs w:val="28"/>
          <w:lang w:val="tg-Cyrl-TJ"/>
        </w:rPr>
        <w:t>7. MONITORING AND EVALUATION OF THE PRESENT STRATEGY</w:t>
      </w:r>
    </w:p>
    <w:p w14:paraId="4239DBBE" w14:textId="77777777" w:rsidR="009D0BC3" w:rsidRPr="00B676B6" w:rsidRDefault="009D0BC3" w:rsidP="009D0BC3">
      <w:pPr>
        <w:spacing w:after="0" w:line="276" w:lineRule="auto"/>
        <w:ind w:firstLine="567"/>
        <w:contextualSpacing/>
        <w:jc w:val="both"/>
        <w:rPr>
          <w:rFonts w:ascii="Times New Roman Tj" w:hAnsi="Times New Roman Tj"/>
          <w:sz w:val="28"/>
          <w:szCs w:val="28"/>
          <w:lang w:val="tg-Cyrl-TJ"/>
        </w:rPr>
      </w:pPr>
      <w:r w:rsidRPr="00B676B6">
        <w:rPr>
          <w:rFonts w:ascii="Times New Roman Tj" w:hAnsi="Times New Roman Tj"/>
          <w:sz w:val="28"/>
          <w:szCs w:val="28"/>
          <w:lang w:val="tg-Cyrl-TJ"/>
        </w:rPr>
        <w:t xml:space="preserve">25. Monitoring and evaluation of this Strategy shall be conducted by the authorized state body in the field of education and science, as well as oversight bodies in the fields of education and science, and vocational primary and secondary education.  </w:t>
      </w:r>
    </w:p>
    <w:p w14:paraId="40AFCD55" w14:textId="77777777" w:rsidR="009D0BC3" w:rsidRPr="00B676B6" w:rsidRDefault="009D0BC3" w:rsidP="009D0BC3">
      <w:pPr>
        <w:spacing w:after="0" w:line="276" w:lineRule="auto"/>
        <w:ind w:firstLine="567"/>
        <w:contextualSpacing/>
        <w:jc w:val="both"/>
        <w:rPr>
          <w:rFonts w:ascii="Times New Roman Tj" w:hAnsi="Times New Roman Tj"/>
          <w:sz w:val="28"/>
          <w:szCs w:val="28"/>
          <w:lang w:val="tg-Cyrl-TJ"/>
        </w:rPr>
      </w:pPr>
      <w:r w:rsidRPr="00B676B6">
        <w:rPr>
          <w:rFonts w:ascii="Times New Roman Tj" w:hAnsi="Times New Roman Tj"/>
          <w:sz w:val="28"/>
          <w:szCs w:val="28"/>
          <w:lang w:val="tg-Cyrl-TJ"/>
        </w:rPr>
        <w:t xml:space="preserve">26. Monitoring and evaluation of the Strategy shall be carried out in accordance with the Resolution of the Government of the Republic of Tajikistan dated December 29, 2018, No. 615 “On the Rules for Conducting Monitoring and Evaluation of the Implementation of National-Level Strategic Documents, Sectoral and Regional Development Programs in the Republic of Tajikistan.”  </w:t>
      </w:r>
    </w:p>
    <w:p w14:paraId="33651065" w14:textId="77777777" w:rsidR="009D0BC3" w:rsidRPr="00B676B6" w:rsidRDefault="009D0BC3" w:rsidP="009D0BC3">
      <w:pPr>
        <w:spacing w:after="0" w:line="276" w:lineRule="auto"/>
        <w:ind w:firstLine="567"/>
        <w:contextualSpacing/>
        <w:jc w:val="both"/>
        <w:rPr>
          <w:rFonts w:ascii="Times New Roman Tj" w:hAnsi="Times New Roman Tj"/>
          <w:sz w:val="28"/>
          <w:szCs w:val="28"/>
          <w:lang w:val="tg-Cyrl-TJ"/>
        </w:rPr>
      </w:pPr>
    </w:p>
    <w:p w14:paraId="4732B65A" w14:textId="0DD0BE51" w:rsidR="009D0BC3" w:rsidRPr="00B676B6" w:rsidRDefault="009D0BC3" w:rsidP="009D0BC3">
      <w:pPr>
        <w:spacing w:after="0" w:line="276" w:lineRule="auto"/>
        <w:ind w:firstLine="567"/>
        <w:contextualSpacing/>
        <w:jc w:val="center"/>
        <w:rPr>
          <w:rFonts w:ascii="Times New Roman Tj" w:hAnsi="Times New Roman Tj"/>
          <w:sz w:val="28"/>
          <w:szCs w:val="28"/>
          <w:lang w:val="tg-Cyrl-TJ"/>
        </w:rPr>
      </w:pPr>
      <w:r w:rsidRPr="00B676B6">
        <w:rPr>
          <w:rFonts w:ascii="Times New Roman Tj" w:hAnsi="Times New Roman Tj"/>
          <w:sz w:val="28"/>
          <w:szCs w:val="28"/>
          <w:lang w:val="tg-Cyrl-TJ"/>
        </w:rPr>
        <w:t>8. FINAL PROVISIONS</w:t>
      </w:r>
    </w:p>
    <w:p w14:paraId="09B5860E" w14:textId="7F8A755B" w:rsidR="002C4F23" w:rsidRPr="00B676B6" w:rsidRDefault="009D0BC3" w:rsidP="009D0BC3">
      <w:pPr>
        <w:spacing w:after="0" w:line="276" w:lineRule="auto"/>
        <w:ind w:firstLine="567"/>
        <w:contextualSpacing/>
        <w:jc w:val="both"/>
        <w:rPr>
          <w:rFonts w:ascii="Times New Roman Tj" w:hAnsi="Times New Roman Tj" w:cs="Times New Roman"/>
          <w:bCs/>
          <w:sz w:val="28"/>
          <w:szCs w:val="28"/>
          <w:lang w:val="tg-Cyrl-TJ"/>
        </w:rPr>
      </w:pPr>
      <w:r w:rsidRPr="00B676B6">
        <w:rPr>
          <w:rFonts w:ascii="Times New Roman Tj" w:hAnsi="Times New Roman Tj"/>
          <w:sz w:val="28"/>
          <w:szCs w:val="28"/>
          <w:lang w:val="tg-Cyrl-TJ"/>
        </w:rPr>
        <w:t>27. The authorized state body in the field of education and science, as well as the oversight bodies in the field of education and science and in the sphere of primary and secondary vocational education, are responsible for the effective implementation of this Strategy.</w:t>
      </w:r>
    </w:p>
    <w:p w14:paraId="159242AB" w14:textId="04B2F0B8" w:rsidR="00EA565D" w:rsidRPr="00B676B6" w:rsidRDefault="00EA565D" w:rsidP="00EA565D">
      <w:pPr>
        <w:spacing w:after="0" w:line="276" w:lineRule="auto"/>
        <w:contextualSpacing/>
        <w:jc w:val="both"/>
        <w:rPr>
          <w:rFonts w:ascii="Times New Roman Tj" w:hAnsi="Times New Roman Tj" w:cs="Times New Roman"/>
          <w:bCs/>
          <w:sz w:val="28"/>
          <w:szCs w:val="28"/>
          <w:lang w:val="tg-Cyrl-TJ"/>
        </w:rPr>
      </w:pPr>
    </w:p>
    <w:sectPr w:rsidR="00EA565D" w:rsidRPr="00B676B6" w:rsidSect="00776DCC">
      <w:footerReference w:type="default" r:id="rId8"/>
      <w:pgSz w:w="11906" w:h="16838"/>
      <w:pgMar w:top="851" w:right="851" w:bottom="1701"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6F595" w14:textId="77777777" w:rsidR="00697786" w:rsidRDefault="00697786" w:rsidP="007042DF">
      <w:pPr>
        <w:spacing w:after="0" w:line="240" w:lineRule="auto"/>
      </w:pPr>
      <w:r>
        <w:separator/>
      </w:r>
    </w:p>
  </w:endnote>
  <w:endnote w:type="continuationSeparator" w:id="0">
    <w:p w14:paraId="7CF98334" w14:textId="77777777" w:rsidR="00697786" w:rsidRDefault="00697786" w:rsidP="0070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460796"/>
      <w:docPartObj>
        <w:docPartGallery w:val="Page Numbers (Bottom of Page)"/>
        <w:docPartUnique/>
      </w:docPartObj>
    </w:sdtPr>
    <w:sdtEndPr>
      <w:rPr>
        <w:rFonts w:ascii="Times New Roman Tj" w:hAnsi="Times New Roman Tj"/>
      </w:rPr>
    </w:sdtEndPr>
    <w:sdtContent>
      <w:p w14:paraId="1E888DC4" w14:textId="59205D37" w:rsidR="00982D88" w:rsidRPr="004D1562" w:rsidRDefault="00982D88">
        <w:pPr>
          <w:pStyle w:val="ac"/>
          <w:jc w:val="right"/>
          <w:rPr>
            <w:rFonts w:ascii="Times New Roman Tj" w:hAnsi="Times New Roman Tj"/>
          </w:rPr>
        </w:pPr>
        <w:r w:rsidRPr="004D1562">
          <w:rPr>
            <w:rFonts w:ascii="Times New Roman Tj" w:hAnsi="Times New Roman Tj"/>
          </w:rPr>
          <w:fldChar w:fldCharType="begin"/>
        </w:r>
        <w:r w:rsidRPr="004D1562">
          <w:rPr>
            <w:rFonts w:ascii="Times New Roman Tj" w:hAnsi="Times New Roman Tj"/>
          </w:rPr>
          <w:instrText>PAGE   \* MERGEFORMAT</w:instrText>
        </w:r>
        <w:r w:rsidRPr="004D1562">
          <w:rPr>
            <w:rFonts w:ascii="Times New Roman Tj" w:hAnsi="Times New Roman Tj"/>
          </w:rPr>
          <w:fldChar w:fldCharType="separate"/>
        </w:r>
        <w:r w:rsidR="00B676B6">
          <w:rPr>
            <w:rFonts w:ascii="Times New Roman Tj" w:hAnsi="Times New Roman Tj"/>
            <w:noProof/>
          </w:rPr>
          <w:t>8</w:t>
        </w:r>
        <w:r w:rsidRPr="004D1562">
          <w:rPr>
            <w:rFonts w:ascii="Times New Roman Tj" w:hAnsi="Times New Roman Tj"/>
          </w:rPr>
          <w:fldChar w:fldCharType="end"/>
        </w:r>
      </w:p>
    </w:sdtContent>
  </w:sdt>
  <w:p w14:paraId="77B364B4" w14:textId="77777777" w:rsidR="00982D88" w:rsidRDefault="00982D8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97B2F" w14:textId="77777777" w:rsidR="00697786" w:rsidRDefault="00697786" w:rsidP="007042DF">
      <w:pPr>
        <w:spacing w:after="0" w:line="240" w:lineRule="auto"/>
      </w:pPr>
      <w:r>
        <w:separator/>
      </w:r>
    </w:p>
  </w:footnote>
  <w:footnote w:type="continuationSeparator" w:id="0">
    <w:p w14:paraId="32F1EE69" w14:textId="77777777" w:rsidR="00697786" w:rsidRDefault="00697786" w:rsidP="00704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1D5"/>
    <w:multiLevelType w:val="hybridMultilevel"/>
    <w:tmpl w:val="5C60582A"/>
    <w:lvl w:ilvl="0" w:tplc="A58C92C8">
      <w:start w:val="1"/>
      <w:numFmt w:val="decimal"/>
      <w:lvlText w:val="%1."/>
      <w:lvlJc w:val="left"/>
      <w:pPr>
        <w:ind w:left="927" w:hanging="360"/>
      </w:pPr>
      <w:rPr>
        <w:rFonts w:hint="default"/>
        <w:lang w:val="tg-Cyrl-TJ"/>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5A65E40"/>
    <w:multiLevelType w:val="hybridMultilevel"/>
    <w:tmpl w:val="A6583046"/>
    <w:lvl w:ilvl="0" w:tplc="5228206C">
      <w:start w:val="9"/>
      <w:numFmt w:val="decimal"/>
      <w:lvlText w:val="%1."/>
      <w:lvlJc w:val="left"/>
      <w:pPr>
        <w:ind w:left="1004" w:hanging="360"/>
      </w:pPr>
      <w:rPr>
        <w:rFonts w:ascii="Times New Roman Tj" w:hAnsi="Times New Roman Tj" w:cs="Cambria"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DA4113D"/>
    <w:multiLevelType w:val="hybridMultilevel"/>
    <w:tmpl w:val="FE56ED72"/>
    <w:lvl w:ilvl="0" w:tplc="F4FE52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1105029"/>
    <w:multiLevelType w:val="hybridMultilevel"/>
    <w:tmpl w:val="359E4640"/>
    <w:lvl w:ilvl="0" w:tplc="FA287886">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6D218C6"/>
    <w:multiLevelType w:val="hybridMultilevel"/>
    <w:tmpl w:val="0908F7CA"/>
    <w:lvl w:ilvl="0" w:tplc="C96857BE">
      <w:start w:val="4"/>
      <w:numFmt w:val="decimal"/>
      <w:lvlText w:val="%1."/>
      <w:lvlJc w:val="left"/>
      <w:pPr>
        <w:ind w:left="927" w:hanging="360"/>
      </w:pPr>
      <w:rPr>
        <w:rFonts w:ascii="Times New Roman Tj" w:hAnsi="Times New Roman Tj"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56D75FB"/>
    <w:multiLevelType w:val="hybridMultilevel"/>
    <w:tmpl w:val="EEA01DE2"/>
    <w:lvl w:ilvl="0" w:tplc="E056C6B8">
      <w:start w:val="1"/>
      <w:numFmt w:val="decimal"/>
      <w:lvlText w:val="%1."/>
      <w:lvlJc w:val="left"/>
      <w:pPr>
        <w:ind w:left="644" w:hanging="360"/>
      </w:pPr>
      <w:rPr>
        <w:rFonts w:ascii="Times New Roman Tj" w:hAnsi="Times New Roman Tj"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641C47"/>
    <w:multiLevelType w:val="hybridMultilevel"/>
    <w:tmpl w:val="2A94B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B7BEE"/>
    <w:multiLevelType w:val="hybridMultilevel"/>
    <w:tmpl w:val="0CF8DB3A"/>
    <w:lvl w:ilvl="0" w:tplc="B624155E">
      <w:start w:val="20"/>
      <w:numFmt w:val="decimal"/>
      <w:lvlText w:val="%1."/>
      <w:lvlJc w:val="left"/>
      <w:pPr>
        <w:ind w:left="9306" w:hanging="375"/>
      </w:pPr>
      <w:rPr>
        <w:rFonts w:cs="Cambria" w:hint="default"/>
      </w:rPr>
    </w:lvl>
    <w:lvl w:ilvl="1" w:tplc="04190019" w:tentative="1">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8" w15:restartNumberingAfterBreak="0">
    <w:nsid w:val="321478C6"/>
    <w:multiLevelType w:val="hybridMultilevel"/>
    <w:tmpl w:val="B7AE03FA"/>
    <w:lvl w:ilvl="0" w:tplc="E2C684CE">
      <w:start w:val="1"/>
      <w:numFmt w:val="bullet"/>
      <w:lvlText w:val="-"/>
      <w:lvlJc w:val="left"/>
      <w:pPr>
        <w:ind w:left="786" w:hanging="360"/>
      </w:pPr>
      <w:rPr>
        <w:rFonts w:ascii="Segoe UI" w:hAnsi="Segoe UI" w:cs="Times New Roman"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6C07537"/>
    <w:multiLevelType w:val="hybridMultilevel"/>
    <w:tmpl w:val="3E3CD230"/>
    <w:lvl w:ilvl="0" w:tplc="0419000F">
      <w:start w:val="1"/>
      <w:numFmt w:val="decimal"/>
      <w:lvlText w:val="%1."/>
      <w:lvlJc w:val="left"/>
      <w:pPr>
        <w:ind w:left="1357" w:hanging="360"/>
      </w:p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abstractNum w:abstractNumId="10" w15:restartNumberingAfterBreak="0">
    <w:nsid w:val="48076A40"/>
    <w:multiLevelType w:val="hybridMultilevel"/>
    <w:tmpl w:val="E0A4ADA8"/>
    <w:lvl w:ilvl="0" w:tplc="7EAAD34E">
      <w:numFmt w:val="bullet"/>
      <w:lvlText w:val="-"/>
      <w:lvlJc w:val="left"/>
      <w:pPr>
        <w:ind w:left="360" w:hanging="360"/>
      </w:pPr>
      <w:rPr>
        <w:rFonts w:ascii="Times New Roman Tj" w:eastAsia="Times New Roman" w:hAnsi="Times New Roman Tj"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3594765"/>
    <w:multiLevelType w:val="hybridMultilevel"/>
    <w:tmpl w:val="FFFFFFFF"/>
    <w:lvl w:ilvl="0" w:tplc="12EE30A5">
      <w:start w:val="63"/>
      <w:numFmt w:val="decimal"/>
      <w:lvlText w:val="%1."/>
      <w:lvlJc w:val="left"/>
      <w:pPr>
        <w:ind w:left="720" w:hanging="360"/>
      </w:pPr>
    </w:lvl>
    <w:lvl w:ilvl="1" w:tplc="7D7D6193">
      <w:start w:val="1"/>
      <w:numFmt w:val="decimal"/>
      <w:lvlText w:val="%2."/>
      <w:lvlJc w:val="left"/>
      <w:pPr>
        <w:ind w:left="1440" w:hanging="360"/>
      </w:pPr>
    </w:lvl>
    <w:lvl w:ilvl="2" w:tplc="4AFB9C35">
      <w:start w:val="1"/>
      <w:numFmt w:val="decimal"/>
      <w:lvlText w:val="%3."/>
      <w:lvlJc w:val="left"/>
      <w:pPr>
        <w:ind w:left="2160" w:hanging="360"/>
      </w:pPr>
    </w:lvl>
    <w:lvl w:ilvl="3" w:tplc="09C49FC5">
      <w:start w:val="1"/>
      <w:numFmt w:val="decimal"/>
      <w:lvlText w:val="%4."/>
      <w:lvlJc w:val="left"/>
      <w:pPr>
        <w:ind w:left="2880" w:hanging="360"/>
      </w:pPr>
    </w:lvl>
    <w:lvl w:ilvl="4" w:tplc="294B1D3A">
      <w:start w:val="1"/>
      <w:numFmt w:val="decimal"/>
      <w:lvlText w:val="%5."/>
      <w:lvlJc w:val="left"/>
      <w:pPr>
        <w:ind w:left="3600" w:hanging="360"/>
      </w:pPr>
    </w:lvl>
    <w:lvl w:ilvl="5" w:tplc="1F4B8E1B">
      <w:start w:val="1"/>
      <w:numFmt w:val="decimal"/>
      <w:lvlText w:val="%6."/>
      <w:lvlJc w:val="left"/>
      <w:pPr>
        <w:ind w:left="4320" w:hanging="360"/>
      </w:pPr>
    </w:lvl>
    <w:lvl w:ilvl="6" w:tplc="6DE69533">
      <w:start w:val="1"/>
      <w:numFmt w:val="decimal"/>
      <w:lvlText w:val="%7."/>
      <w:lvlJc w:val="left"/>
      <w:pPr>
        <w:ind w:left="5040" w:hanging="360"/>
      </w:pPr>
    </w:lvl>
    <w:lvl w:ilvl="7" w:tplc="1635AD16">
      <w:start w:val="1"/>
      <w:numFmt w:val="decimal"/>
      <w:lvlText w:val="%8."/>
      <w:lvlJc w:val="left"/>
      <w:pPr>
        <w:ind w:left="5760" w:hanging="360"/>
      </w:pPr>
    </w:lvl>
    <w:lvl w:ilvl="8" w:tplc="2135DC6F">
      <w:start w:val="1"/>
      <w:numFmt w:val="decimal"/>
      <w:lvlText w:val="%9."/>
      <w:lvlJc w:val="left"/>
      <w:pPr>
        <w:ind w:left="6480" w:hanging="360"/>
      </w:pPr>
    </w:lvl>
  </w:abstractNum>
  <w:abstractNum w:abstractNumId="12" w15:restartNumberingAfterBreak="0">
    <w:nsid w:val="5C1561AC"/>
    <w:multiLevelType w:val="hybridMultilevel"/>
    <w:tmpl w:val="D3260B56"/>
    <w:lvl w:ilvl="0" w:tplc="51DE48E6">
      <w:start w:val="8"/>
      <w:numFmt w:val="decimal"/>
      <w:lvlText w:val="%1."/>
      <w:lvlJc w:val="left"/>
      <w:pPr>
        <w:ind w:left="1004" w:hanging="360"/>
      </w:pPr>
      <w:rPr>
        <w:rFonts w:ascii="Times New Roman Tj" w:hAnsi="Times New Roman Tj" w:hint="default"/>
        <w:lang w:val="ru-RU"/>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61B47A46"/>
    <w:multiLevelType w:val="hybridMultilevel"/>
    <w:tmpl w:val="523ADE7E"/>
    <w:lvl w:ilvl="0" w:tplc="2A265AC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610583"/>
    <w:multiLevelType w:val="hybridMultilevel"/>
    <w:tmpl w:val="394C8C14"/>
    <w:lvl w:ilvl="0" w:tplc="2A265ACE">
      <w:start w:val="3"/>
      <w:numFmt w:val="bullet"/>
      <w:lvlText w:val="-"/>
      <w:lvlJc w:val="left"/>
      <w:pPr>
        <w:ind w:left="1353" w:hanging="360"/>
      </w:pPr>
      <w:rPr>
        <w:rFonts w:ascii="Times New Roman" w:eastAsia="Times New Roman" w:hAnsi="Times New Roman" w:cs="Times New Roman" w:hint="default"/>
        <w:b w:val="0"/>
        <w:bCs/>
        <w:lang w:val="ru-RU"/>
      </w:rPr>
    </w:lvl>
    <w:lvl w:ilvl="1" w:tplc="F682606C">
      <w:numFmt w:val="bullet"/>
      <w:lvlText w:val="•"/>
      <w:lvlJc w:val="left"/>
      <w:pPr>
        <w:ind w:left="1800" w:hanging="360"/>
      </w:pPr>
      <w:rPr>
        <w:rFonts w:ascii="Times New Roman Tj" w:eastAsia="Times New Roman" w:hAnsi="Times New Roman Tj"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C7735F9"/>
    <w:multiLevelType w:val="hybridMultilevel"/>
    <w:tmpl w:val="0F268EF2"/>
    <w:lvl w:ilvl="0" w:tplc="9CCCD446">
      <w:start w:val="9"/>
      <w:numFmt w:val="bullet"/>
      <w:lvlText w:val="-"/>
      <w:lvlJc w:val="left"/>
      <w:pPr>
        <w:ind w:left="786" w:hanging="360"/>
      </w:pPr>
      <w:rPr>
        <w:rFonts w:ascii="Times New Roman Tj" w:eastAsia="Times New Roman" w:hAnsi="Times New Roman Tj" w:cs="Times New Roman" w:hint="default"/>
        <w:sz w:val="2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num>
  <w:num w:numId="2">
    <w:abstractNumId w:val="5"/>
  </w:num>
  <w:num w:numId="3">
    <w:abstractNumId w:val="8"/>
  </w:num>
  <w:num w:numId="4">
    <w:abstractNumId w:val="10"/>
  </w:num>
  <w:num w:numId="5">
    <w:abstractNumId w:val="15"/>
  </w:num>
  <w:num w:numId="6">
    <w:abstractNumId w:val="3"/>
  </w:num>
  <w:num w:numId="7">
    <w:abstractNumId w:val="4"/>
  </w:num>
  <w:num w:numId="8">
    <w:abstractNumId w:val="7"/>
  </w:num>
  <w:num w:numId="9">
    <w:abstractNumId w:val="6"/>
  </w:num>
  <w:num w:numId="10">
    <w:abstractNumId w:val="12"/>
  </w:num>
  <w:num w:numId="11">
    <w:abstractNumId w:val="1"/>
  </w:num>
  <w:num w:numId="12">
    <w:abstractNumId w:val="14"/>
  </w:num>
  <w:num w:numId="13">
    <w:abstractNumId w:val="13"/>
  </w:num>
  <w:num w:numId="14">
    <w:abstractNumId w:val="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ED"/>
    <w:rsid w:val="00000CA0"/>
    <w:rsid w:val="00003BEA"/>
    <w:rsid w:val="00004728"/>
    <w:rsid w:val="00006A30"/>
    <w:rsid w:val="00017976"/>
    <w:rsid w:val="00017DFE"/>
    <w:rsid w:val="00023C9E"/>
    <w:rsid w:val="00036143"/>
    <w:rsid w:val="000364EA"/>
    <w:rsid w:val="00043102"/>
    <w:rsid w:val="00045F7B"/>
    <w:rsid w:val="000518FF"/>
    <w:rsid w:val="0005587E"/>
    <w:rsid w:val="000607BB"/>
    <w:rsid w:val="00063F05"/>
    <w:rsid w:val="0006656A"/>
    <w:rsid w:val="000712BC"/>
    <w:rsid w:val="00073B5A"/>
    <w:rsid w:val="000758E5"/>
    <w:rsid w:val="00081517"/>
    <w:rsid w:val="00082E46"/>
    <w:rsid w:val="00092CCA"/>
    <w:rsid w:val="000953C4"/>
    <w:rsid w:val="000A4EE1"/>
    <w:rsid w:val="000B523D"/>
    <w:rsid w:val="000D4817"/>
    <w:rsid w:val="000D7870"/>
    <w:rsid w:val="000E1DB2"/>
    <w:rsid w:val="000F2D98"/>
    <w:rsid w:val="00100804"/>
    <w:rsid w:val="00100C91"/>
    <w:rsid w:val="00105ECC"/>
    <w:rsid w:val="001148BD"/>
    <w:rsid w:val="0012157F"/>
    <w:rsid w:val="00122149"/>
    <w:rsid w:val="00132678"/>
    <w:rsid w:val="00132F95"/>
    <w:rsid w:val="00134C30"/>
    <w:rsid w:val="001354E7"/>
    <w:rsid w:val="00142A06"/>
    <w:rsid w:val="00143293"/>
    <w:rsid w:val="00144B0C"/>
    <w:rsid w:val="00144D58"/>
    <w:rsid w:val="00146D05"/>
    <w:rsid w:val="00147026"/>
    <w:rsid w:val="0015250B"/>
    <w:rsid w:val="0015571A"/>
    <w:rsid w:val="00156898"/>
    <w:rsid w:val="00162387"/>
    <w:rsid w:val="00186DB1"/>
    <w:rsid w:val="0019035B"/>
    <w:rsid w:val="001903D7"/>
    <w:rsid w:val="0019153F"/>
    <w:rsid w:val="0019578F"/>
    <w:rsid w:val="00197082"/>
    <w:rsid w:val="001A11C1"/>
    <w:rsid w:val="001A2FEA"/>
    <w:rsid w:val="001A5055"/>
    <w:rsid w:val="001B5F9C"/>
    <w:rsid w:val="001C38FC"/>
    <w:rsid w:val="001D198A"/>
    <w:rsid w:val="001D7DD3"/>
    <w:rsid w:val="001E0D12"/>
    <w:rsid w:val="001E28DA"/>
    <w:rsid w:val="001E375D"/>
    <w:rsid w:val="001E4E56"/>
    <w:rsid w:val="001E64EA"/>
    <w:rsid w:val="001E697C"/>
    <w:rsid w:val="001F4EC2"/>
    <w:rsid w:val="001F554B"/>
    <w:rsid w:val="001F5935"/>
    <w:rsid w:val="002004AF"/>
    <w:rsid w:val="00206154"/>
    <w:rsid w:val="00217042"/>
    <w:rsid w:val="0021752B"/>
    <w:rsid w:val="00220A7F"/>
    <w:rsid w:val="00222CA9"/>
    <w:rsid w:val="00223623"/>
    <w:rsid w:val="00232F19"/>
    <w:rsid w:val="00234C6C"/>
    <w:rsid w:val="00241904"/>
    <w:rsid w:val="00243155"/>
    <w:rsid w:val="002448DB"/>
    <w:rsid w:val="0024608A"/>
    <w:rsid w:val="00250BCA"/>
    <w:rsid w:val="00252BBC"/>
    <w:rsid w:val="00253E89"/>
    <w:rsid w:val="00254AE9"/>
    <w:rsid w:val="0025507E"/>
    <w:rsid w:val="0025697A"/>
    <w:rsid w:val="002571C0"/>
    <w:rsid w:val="00264529"/>
    <w:rsid w:val="00271A89"/>
    <w:rsid w:val="00286A08"/>
    <w:rsid w:val="00291F4E"/>
    <w:rsid w:val="002936CF"/>
    <w:rsid w:val="00295118"/>
    <w:rsid w:val="00295953"/>
    <w:rsid w:val="00297475"/>
    <w:rsid w:val="002A0054"/>
    <w:rsid w:val="002A10AA"/>
    <w:rsid w:val="002A1B83"/>
    <w:rsid w:val="002B1A2B"/>
    <w:rsid w:val="002C4F23"/>
    <w:rsid w:val="002D4963"/>
    <w:rsid w:val="002E331E"/>
    <w:rsid w:val="002E4F19"/>
    <w:rsid w:val="002F09F9"/>
    <w:rsid w:val="002F16C1"/>
    <w:rsid w:val="002F5DA4"/>
    <w:rsid w:val="002F6D32"/>
    <w:rsid w:val="003020EF"/>
    <w:rsid w:val="00304057"/>
    <w:rsid w:val="00307B43"/>
    <w:rsid w:val="0031479F"/>
    <w:rsid w:val="00323ADF"/>
    <w:rsid w:val="00323B90"/>
    <w:rsid w:val="00330B98"/>
    <w:rsid w:val="00333720"/>
    <w:rsid w:val="003350A2"/>
    <w:rsid w:val="003354F2"/>
    <w:rsid w:val="0033749E"/>
    <w:rsid w:val="0033798F"/>
    <w:rsid w:val="00342A16"/>
    <w:rsid w:val="00344F80"/>
    <w:rsid w:val="00350714"/>
    <w:rsid w:val="00354ACF"/>
    <w:rsid w:val="003553FC"/>
    <w:rsid w:val="00360219"/>
    <w:rsid w:val="00360257"/>
    <w:rsid w:val="00360618"/>
    <w:rsid w:val="00386ADE"/>
    <w:rsid w:val="00392A5B"/>
    <w:rsid w:val="00393EF3"/>
    <w:rsid w:val="003942E5"/>
    <w:rsid w:val="003A33CD"/>
    <w:rsid w:val="003A5533"/>
    <w:rsid w:val="003A67E6"/>
    <w:rsid w:val="003B2FE8"/>
    <w:rsid w:val="003B7B6F"/>
    <w:rsid w:val="003C3E21"/>
    <w:rsid w:val="003C4656"/>
    <w:rsid w:val="003C50F5"/>
    <w:rsid w:val="003C657B"/>
    <w:rsid w:val="003C6645"/>
    <w:rsid w:val="003C7BF0"/>
    <w:rsid w:val="003D1392"/>
    <w:rsid w:val="003D146F"/>
    <w:rsid w:val="003D3791"/>
    <w:rsid w:val="003E3E41"/>
    <w:rsid w:val="003E3E80"/>
    <w:rsid w:val="003E4E04"/>
    <w:rsid w:val="003E5C55"/>
    <w:rsid w:val="003F0176"/>
    <w:rsid w:val="004000CB"/>
    <w:rsid w:val="0040150B"/>
    <w:rsid w:val="00401E21"/>
    <w:rsid w:val="0040278B"/>
    <w:rsid w:val="004073AA"/>
    <w:rsid w:val="0040780E"/>
    <w:rsid w:val="00415A19"/>
    <w:rsid w:val="004168D3"/>
    <w:rsid w:val="00421008"/>
    <w:rsid w:val="00434C8C"/>
    <w:rsid w:val="00437C10"/>
    <w:rsid w:val="004401E7"/>
    <w:rsid w:val="004408ED"/>
    <w:rsid w:val="00450C11"/>
    <w:rsid w:val="00451FB8"/>
    <w:rsid w:val="004543F8"/>
    <w:rsid w:val="00454694"/>
    <w:rsid w:val="00464791"/>
    <w:rsid w:val="00467811"/>
    <w:rsid w:val="00471260"/>
    <w:rsid w:val="00473802"/>
    <w:rsid w:val="00474804"/>
    <w:rsid w:val="00477523"/>
    <w:rsid w:val="004811AD"/>
    <w:rsid w:val="004869FE"/>
    <w:rsid w:val="00491F76"/>
    <w:rsid w:val="004940A0"/>
    <w:rsid w:val="004A649B"/>
    <w:rsid w:val="004B0E23"/>
    <w:rsid w:val="004B323D"/>
    <w:rsid w:val="004B41EA"/>
    <w:rsid w:val="004B583F"/>
    <w:rsid w:val="004D1562"/>
    <w:rsid w:val="004D2F86"/>
    <w:rsid w:val="004D53D4"/>
    <w:rsid w:val="004E0F91"/>
    <w:rsid w:val="004E7B7E"/>
    <w:rsid w:val="004F1E60"/>
    <w:rsid w:val="004F2230"/>
    <w:rsid w:val="004F4B09"/>
    <w:rsid w:val="004F7226"/>
    <w:rsid w:val="005036B0"/>
    <w:rsid w:val="00504FE6"/>
    <w:rsid w:val="00522731"/>
    <w:rsid w:val="00522AF4"/>
    <w:rsid w:val="00523700"/>
    <w:rsid w:val="00531F23"/>
    <w:rsid w:val="005444B0"/>
    <w:rsid w:val="00545494"/>
    <w:rsid w:val="00554D24"/>
    <w:rsid w:val="00554E12"/>
    <w:rsid w:val="00562657"/>
    <w:rsid w:val="0056281C"/>
    <w:rsid w:val="00562CC1"/>
    <w:rsid w:val="00571B5D"/>
    <w:rsid w:val="0058306F"/>
    <w:rsid w:val="005914A4"/>
    <w:rsid w:val="005927CA"/>
    <w:rsid w:val="00596B5B"/>
    <w:rsid w:val="005A4E0F"/>
    <w:rsid w:val="005C275F"/>
    <w:rsid w:val="005C3546"/>
    <w:rsid w:val="005C6EC5"/>
    <w:rsid w:val="005D2AC7"/>
    <w:rsid w:val="005D5797"/>
    <w:rsid w:val="005E1A3C"/>
    <w:rsid w:val="005E4890"/>
    <w:rsid w:val="005E5F2B"/>
    <w:rsid w:val="005F19F4"/>
    <w:rsid w:val="005F567B"/>
    <w:rsid w:val="006020B7"/>
    <w:rsid w:val="0060598A"/>
    <w:rsid w:val="0060684F"/>
    <w:rsid w:val="00607BD4"/>
    <w:rsid w:val="00612BAE"/>
    <w:rsid w:val="00616890"/>
    <w:rsid w:val="00617A32"/>
    <w:rsid w:val="00621471"/>
    <w:rsid w:val="00625700"/>
    <w:rsid w:val="0063052B"/>
    <w:rsid w:val="006334E0"/>
    <w:rsid w:val="006341C3"/>
    <w:rsid w:val="00643175"/>
    <w:rsid w:val="00643957"/>
    <w:rsid w:val="00646420"/>
    <w:rsid w:val="006471CE"/>
    <w:rsid w:val="00647342"/>
    <w:rsid w:val="00650400"/>
    <w:rsid w:val="0065766D"/>
    <w:rsid w:val="006578B0"/>
    <w:rsid w:val="00670CCD"/>
    <w:rsid w:val="00673FBD"/>
    <w:rsid w:val="00676A7F"/>
    <w:rsid w:val="00682534"/>
    <w:rsid w:val="00685370"/>
    <w:rsid w:val="006866D2"/>
    <w:rsid w:val="00690747"/>
    <w:rsid w:val="00690973"/>
    <w:rsid w:val="00697786"/>
    <w:rsid w:val="006A2C16"/>
    <w:rsid w:val="006A6620"/>
    <w:rsid w:val="006B1E92"/>
    <w:rsid w:val="006B25BA"/>
    <w:rsid w:val="006C397A"/>
    <w:rsid w:val="006C64B8"/>
    <w:rsid w:val="006D10B1"/>
    <w:rsid w:val="006D12E6"/>
    <w:rsid w:val="006D4335"/>
    <w:rsid w:val="006D48F8"/>
    <w:rsid w:val="006D7FE6"/>
    <w:rsid w:val="006E23CF"/>
    <w:rsid w:val="006E3F6C"/>
    <w:rsid w:val="006E577B"/>
    <w:rsid w:val="006E7FBF"/>
    <w:rsid w:val="007014F5"/>
    <w:rsid w:val="007032E8"/>
    <w:rsid w:val="007042DF"/>
    <w:rsid w:val="00705FF3"/>
    <w:rsid w:val="00710E49"/>
    <w:rsid w:val="007164DD"/>
    <w:rsid w:val="0071669F"/>
    <w:rsid w:val="00720DC7"/>
    <w:rsid w:val="00730325"/>
    <w:rsid w:val="00730A26"/>
    <w:rsid w:val="00730ECF"/>
    <w:rsid w:val="0074129B"/>
    <w:rsid w:val="007420C4"/>
    <w:rsid w:val="007448DF"/>
    <w:rsid w:val="0074608A"/>
    <w:rsid w:val="007464A9"/>
    <w:rsid w:val="00757050"/>
    <w:rsid w:val="007629C4"/>
    <w:rsid w:val="00763400"/>
    <w:rsid w:val="007641B2"/>
    <w:rsid w:val="0076587A"/>
    <w:rsid w:val="00776DCC"/>
    <w:rsid w:val="00781248"/>
    <w:rsid w:val="007821F7"/>
    <w:rsid w:val="0078378F"/>
    <w:rsid w:val="0078590C"/>
    <w:rsid w:val="00787BD6"/>
    <w:rsid w:val="00792B49"/>
    <w:rsid w:val="007A0E0F"/>
    <w:rsid w:val="007A1B9A"/>
    <w:rsid w:val="007A3701"/>
    <w:rsid w:val="007B0671"/>
    <w:rsid w:val="007B29BE"/>
    <w:rsid w:val="007B34DF"/>
    <w:rsid w:val="007B3966"/>
    <w:rsid w:val="007B6FC7"/>
    <w:rsid w:val="007C2995"/>
    <w:rsid w:val="007D69AC"/>
    <w:rsid w:val="007E2090"/>
    <w:rsid w:val="007E777C"/>
    <w:rsid w:val="007F0E7E"/>
    <w:rsid w:val="0081103C"/>
    <w:rsid w:val="00820CA0"/>
    <w:rsid w:val="00821416"/>
    <w:rsid w:val="008225D3"/>
    <w:rsid w:val="008233A9"/>
    <w:rsid w:val="008258BC"/>
    <w:rsid w:val="00825C88"/>
    <w:rsid w:val="00831D58"/>
    <w:rsid w:val="008344A4"/>
    <w:rsid w:val="00840E21"/>
    <w:rsid w:val="008539DE"/>
    <w:rsid w:val="00853A8B"/>
    <w:rsid w:val="00854D81"/>
    <w:rsid w:val="00856295"/>
    <w:rsid w:val="0086340B"/>
    <w:rsid w:val="00865D53"/>
    <w:rsid w:val="008672E9"/>
    <w:rsid w:val="008679AB"/>
    <w:rsid w:val="00870E42"/>
    <w:rsid w:val="008719FB"/>
    <w:rsid w:val="00872160"/>
    <w:rsid w:val="00872C5F"/>
    <w:rsid w:val="008738ED"/>
    <w:rsid w:val="00877897"/>
    <w:rsid w:val="00884259"/>
    <w:rsid w:val="00887AEB"/>
    <w:rsid w:val="008C1942"/>
    <w:rsid w:val="008C4B66"/>
    <w:rsid w:val="008C76A4"/>
    <w:rsid w:val="008D0CED"/>
    <w:rsid w:val="008D1F4A"/>
    <w:rsid w:val="008D2500"/>
    <w:rsid w:val="008D4549"/>
    <w:rsid w:val="008D46C8"/>
    <w:rsid w:val="008E0169"/>
    <w:rsid w:val="008E05CE"/>
    <w:rsid w:val="008E0E81"/>
    <w:rsid w:val="008E1758"/>
    <w:rsid w:val="008E216F"/>
    <w:rsid w:val="008E4EE7"/>
    <w:rsid w:val="008F090C"/>
    <w:rsid w:val="008F109E"/>
    <w:rsid w:val="008F1342"/>
    <w:rsid w:val="008F653E"/>
    <w:rsid w:val="008F6F49"/>
    <w:rsid w:val="0090190E"/>
    <w:rsid w:val="00901D79"/>
    <w:rsid w:val="009126B7"/>
    <w:rsid w:val="00920361"/>
    <w:rsid w:val="0093597F"/>
    <w:rsid w:val="0094006D"/>
    <w:rsid w:val="0094730D"/>
    <w:rsid w:val="00956C90"/>
    <w:rsid w:val="00957F12"/>
    <w:rsid w:val="009676E1"/>
    <w:rsid w:val="00974061"/>
    <w:rsid w:val="00974169"/>
    <w:rsid w:val="00982D88"/>
    <w:rsid w:val="00985018"/>
    <w:rsid w:val="00986532"/>
    <w:rsid w:val="00991675"/>
    <w:rsid w:val="009918C1"/>
    <w:rsid w:val="0099350C"/>
    <w:rsid w:val="009A13F2"/>
    <w:rsid w:val="009A1AED"/>
    <w:rsid w:val="009A40A4"/>
    <w:rsid w:val="009A42A7"/>
    <w:rsid w:val="009B0F66"/>
    <w:rsid w:val="009B2A69"/>
    <w:rsid w:val="009B7E59"/>
    <w:rsid w:val="009C4666"/>
    <w:rsid w:val="009C4C83"/>
    <w:rsid w:val="009D0BC3"/>
    <w:rsid w:val="009D44C3"/>
    <w:rsid w:val="009E128F"/>
    <w:rsid w:val="009E31F7"/>
    <w:rsid w:val="009E32D4"/>
    <w:rsid w:val="009E3D95"/>
    <w:rsid w:val="009E3F4C"/>
    <w:rsid w:val="009F1F6C"/>
    <w:rsid w:val="009F59C1"/>
    <w:rsid w:val="009F76E6"/>
    <w:rsid w:val="00A010D6"/>
    <w:rsid w:val="00A01B9F"/>
    <w:rsid w:val="00A0615A"/>
    <w:rsid w:val="00A10A89"/>
    <w:rsid w:val="00A126B4"/>
    <w:rsid w:val="00A15D3B"/>
    <w:rsid w:val="00A17C8E"/>
    <w:rsid w:val="00A248BD"/>
    <w:rsid w:val="00A3059A"/>
    <w:rsid w:val="00A31914"/>
    <w:rsid w:val="00A40BC9"/>
    <w:rsid w:val="00A42C28"/>
    <w:rsid w:val="00A43F72"/>
    <w:rsid w:val="00A451C6"/>
    <w:rsid w:val="00A45285"/>
    <w:rsid w:val="00A515C0"/>
    <w:rsid w:val="00A60D19"/>
    <w:rsid w:val="00A621D4"/>
    <w:rsid w:val="00A67101"/>
    <w:rsid w:val="00A72CF0"/>
    <w:rsid w:val="00A74240"/>
    <w:rsid w:val="00A81A0B"/>
    <w:rsid w:val="00AB0260"/>
    <w:rsid w:val="00AB1A8A"/>
    <w:rsid w:val="00AB41F7"/>
    <w:rsid w:val="00AB4815"/>
    <w:rsid w:val="00AB6A85"/>
    <w:rsid w:val="00AB7E27"/>
    <w:rsid w:val="00AC280C"/>
    <w:rsid w:val="00AC76D3"/>
    <w:rsid w:val="00AD12E6"/>
    <w:rsid w:val="00AD228C"/>
    <w:rsid w:val="00AE25ED"/>
    <w:rsid w:val="00AE3012"/>
    <w:rsid w:val="00AE42F4"/>
    <w:rsid w:val="00AE65A5"/>
    <w:rsid w:val="00AE7CD9"/>
    <w:rsid w:val="00AF5E75"/>
    <w:rsid w:val="00B03EF2"/>
    <w:rsid w:val="00B04FAF"/>
    <w:rsid w:val="00B12E2F"/>
    <w:rsid w:val="00B15036"/>
    <w:rsid w:val="00B205FA"/>
    <w:rsid w:val="00B21F47"/>
    <w:rsid w:val="00B2332B"/>
    <w:rsid w:val="00B24BA6"/>
    <w:rsid w:val="00B271F6"/>
    <w:rsid w:val="00B45186"/>
    <w:rsid w:val="00B536D5"/>
    <w:rsid w:val="00B567B2"/>
    <w:rsid w:val="00B6266B"/>
    <w:rsid w:val="00B676B6"/>
    <w:rsid w:val="00B73005"/>
    <w:rsid w:val="00B748A7"/>
    <w:rsid w:val="00B815CB"/>
    <w:rsid w:val="00B8398F"/>
    <w:rsid w:val="00B8742D"/>
    <w:rsid w:val="00BB29DD"/>
    <w:rsid w:val="00BB364C"/>
    <w:rsid w:val="00BE53AC"/>
    <w:rsid w:val="00BF1545"/>
    <w:rsid w:val="00BF4164"/>
    <w:rsid w:val="00C02AB1"/>
    <w:rsid w:val="00C1029B"/>
    <w:rsid w:val="00C15A39"/>
    <w:rsid w:val="00C1667F"/>
    <w:rsid w:val="00C16B1F"/>
    <w:rsid w:val="00C24693"/>
    <w:rsid w:val="00C33BF3"/>
    <w:rsid w:val="00C46DA1"/>
    <w:rsid w:val="00C51102"/>
    <w:rsid w:val="00C517AA"/>
    <w:rsid w:val="00C552B2"/>
    <w:rsid w:val="00C62F61"/>
    <w:rsid w:val="00C64789"/>
    <w:rsid w:val="00C65CB6"/>
    <w:rsid w:val="00C66717"/>
    <w:rsid w:val="00C66A51"/>
    <w:rsid w:val="00C84C40"/>
    <w:rsid w:val="00C84F1A"/>
    <w:rsid w:val="00C84FD1"/>
    <w:rsid w:val="00C87CF3"/>
    <w:rsid w:val="00C93614"/>
    <w:rsid w:val="00C943DB"/>
    <w:rsid w:val="00C9494D"/>
    <w:rsid w:val="00C967BA"/>
    <w:rsid w:val="00CA0704"/>
    <w:rsid w:val="00CA4768"/>
    <w:rsid w:val="00CA7E57"/>
    <w:rsid w:val="00CB4000"/>
    <w:rsid w:val="00CB43A6"/>
    <w:rsid w:val="00CB57AF"/>
    <w:rsid w:val="00CB6930"/>
    <w:rsid w:val="00CC1E9B"/>
    <w:rsid w:val="00CC2813"/>
    <w:rsid w:val="00CC5A99"/>
    <w:rsid w:val="00CD0297"/>
    <w:rsid w:val="00CD0877"/>
    <w:rsid w:val="00CD5B62"/>
    <w:rsid w:val="00CD78E1"/>
    <w:rsid w:val="00CE0BDF"/>
    <w:rsid w:val="00CE589B"/>
    <w:rsid w:val="00CE5F68"/>
    <w:rsid w:val="00CF48FD"/>
    <w:rsid w:val="00CF5D3E"/>
    <w:rsid w:val="00D024C1"/>
    <w:rsid w:val="00D070D7"/>
    <w:rsid w:val="00D13484"/>
    <w:rsid w:val="00D16A71"/>
    <w:rsid w:val="00D24711"/>
    <w:rsid w:val="00D25453"/>
    <w:rsid w:val="00D26100"/>
    <w:rsid w:val="00D2645E"/>
    <w:rsid w:val="00D31857"/>
    <w:rsid w:val="00D323BB"/>
    <w:rsid w:val="00D45EB8"/>
    <w:rsid w:val="00D53155"/>
    <w:rsid w:val="00D579A5"/>
    <w:rsid w:val="00D61A1D"/>
    <w:rsid w:val="00D62013"/>
    <w:rsid w:val="00D621D9"/>
    <w:rsid w:val="00D656ED"/>
    <w:rsid w:val="00D67777"/>
    <w:rsid w:val="00D6783C"/>
    <w:rsid w:val="00D70229"/>
    <w:rsid w:val="00D70C07"/>
    <w:rsid w:val="00D716E0"/>
    <w:rsid w:val="00D809DE"/>
    <w:rsid w:val="00D87BBF"/>
    <w:rsid w:val="00D92215"/>
    <w:rsid w:val="00D93609"/>
    <w:rsid w:val="00D959D2"/>
    <w:rsid w:val="00D96B11"/>
    <w:rsid w:val="00D971CE"/>
    <w:rsid w:val="00DA36AD"/>
    <w:rsid w:val="00DA6A63"/>
    <w:rsid w:val="00DB3180"/>
    <w:rsid w:val="00DB70EF"/>
    <w:rsid w:val="00DC4D46"/>
    <w:rsid w:val="00DD018F"/>
    <w:rsid w:val="00DD0AA3"/>
    <w:rsid w:val="00DE01F8"/>
    <w:rsid w:val="00DE1B0A"/>
    <w:rsid w:val="00DE3DA5"/>
    <w:rsid w:val="00DE72D9"/>
    <w:rsid w:val="00DF4262"/>
    <w:rsid w:val="00DF602A"/>
    <w:rsid w:val="00DF6A74"/>
    <w:rsid w:val="00E01182"/>
    <w:rsid w:val="00E048A7"/>
    <w:rsid w:val="00E053D4"/>
    <w:rsid w:val="00E303A2"/>
    <w:rsid w:val="00E36DE6"/>
    <w:rsid w:val="00E402F0"/>
    <w:rsid w:val="00E50827"/>
    <w:rsid w:val="00E50B61"/>
    <w:rsid w:val="00E5368F"/>
    <w:rsid w:val="00E5406C"/>
    <w:rsid w:val="00E542B1"/>
    <w:rsid w:val="00E57BD6"/>
    <w:rsid w:val="00E67B39"/>
    <w:rsid w:val="00E75368"/>
    <w:rsid w:val="00E75B4F"/>
    <w:rsid w:val="00E804EB"/>
    <w:rsid w:val="00E8158A"/>
    <w:rsid w:val="00E82DD6"/>
    <w:rsid w:val="00E97F74"/>
    <w:rsid w:val="00EA358D"/>
    <w:rsid w:val="00EA565D"/>
    <w:rsid w:val="00EA7D7A"/>
    <w:rsid w:val="00EA7FC5"/>
    <w:rsid w:val="00EB7B6D"/>
    <w:rsid w:val="00EC1310"/>
    <w:rsid w:val="00EC5AE7"/>
    <w:rsid w:val="00EC7AEB"/>
    <w:rsid w:val="00ED21E0"/>
    <w:rsid w:val="00ED68F7"/>
    <w:rsid w:val="00EE0143"/>
    <w:rsid w:val="00F034F1"/>
    <w:rsid w:val="00F05773"/>
    <w:rsid w:val="00F113BC"/>
    <w:rsid w:val="00F16802"/>
    <w:rsid w:val="00F16F9D"/>
    <w:rsid w:val="00F20B91"/>
    <w:rsid w:val="00F2455F"/>
    <w:rsid w:val="00F255C1"/>
    <w:rsid w:val="00F31BA7"/>
    <w:rsid w:val="00F35072"/>
    <w:rsid w:val="00F355D7"/>
    <w:rsid w:val="00F63630"/>
    <w:rsid w:val="00F63FDF"/>
    <w:rsid w:val="00F64418"/>
    <w:rsid w:val="00F764DA"/>
    <w:rsid w:val="00F80DFF"/>
    <w:rsid w:val="00F831CD"/>
    <w:rsid w:val="00F85868"/>
    <w:rsid w:val="00F870B5"/>
    <w:rsid w:val="00F92C8C"/>
    <w:rsid w:val="00F93596"/>
    <w:rsid w:val="00F9682C"/>
    <w:rsid w:val="00FA4F69"/>
    <w:rsid w:val="00FB1E4F"/>
    <w:rsid w:val="00FB76DE"/>
    <w:rsid w:val="00FC13EC"/>
    <w:rsid w:val="00FC18D2"/>
    <w:rsid w:val="00FC18E1"/>
    <w:rsid w:val="00FC45CC"/>
    <w:rsid w:val="00FD3152"/>
    <w:rsid w:val="00FD41DB"/>
    <w:rsid w:val="00FE47B5"/>
    <w:rsid w:val="00FF5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D58AC"/>
  <w15:chartTrackingRefBased/>
  <w15:docId w15:val="{8C3ACA66-6C97-4BDF-8E20-887C0B5A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5ED"/>
  </w:style>
  <w:style w:type="paragraph" w:styleId="2">
    <w:name w:val="heading 2"/>
    <w:basedOn w:val="a"/>
    <w:next w:val="a"/>
    <w:link w:val="20"/>
    <w:uiPriority w:val="9"/>
    <w:semiHidden/>
    <w:unhideWhenUsed/>
    <w:qFormat/>
    <w:rsid w:val="00AE25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25E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semiHidden/>
    <w:unhideWhenUsed/>
    <w:rsid w:val="00AE25ED"/>
    <w:rPr>
      <w:color w:val="0000FF"/>
      <w:u w:val="single"/>
    </w:rPr>
  </w:style>
  <w:style w:type="paragraph" w:customStyle="1" w:styleId="Default">
    <w:name w:val="Default"/>
    <w:uiPriority w:val="99"/>
    <w:rsid w:val="00AE2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aliases w:val="Булет Стандарт,List Paragraph,Абзац списка6,Булет Стандартҳо,Абзац списка61,Абзац списка3,Bullets History,List Paragraph (numbered (a)),Use Case List Paragraph,List Paragraph 1,Bullet Points,Liststycke SKL,Bullet list,Bullet OFM,СПИСОК"/>
    <w:basedOn w:val="a"/>
    <w:link w:val="a6"/>
    <w:uiPriority w:val="34"/>
    <w:qFormat/>
    <w:rsid w:val="00AE25ED"/>
    <w:pPr>
      <w:ind w:left="720"/>
      <w:contextualSpacing/>
    </w:pPr>
  </w:style>
  <w:style w:type="character" w:customStyle="1" w:styleId="a6">
    <w:name w:val="Абзац списка Знак"/>
    <w:aliases w:val="Булет Стандарт Знак,List Paragraph Знак,Абзац списка6 Знак,Булет Стандартҳо Знак,Абзац списка61 Знак,Абзац списка3 Знак,Bullets History Знак,List Paragraph (numbered (a)) Знак,Use Case List Paragraph Знак,List Paragraph 1 Знак"/>
    <w:link w:val="a5"/>
    <w:uiPriority w:val="34"/>
    <w:qFormat/>
    <w:locked/>
    <w:rsid w:val="00AE25ED"/>
  </w:style>
  <w:style w:type="character" w:customStyle="1" w:styleId="a7">
    <w:name w:val="Без интервала Знак"/>
    <w:aliases w:val="Основной Знак,No Spacing Знак,Без интервала1 Знак,Шаклу услуби дуруст Знак,основной Знак,манижа Знак,наргис Знак"/>
    <w:link w:val="a8"/>
    <w:uiPriority w:val="1"/>
    <w:locked/>
    <w:rsid w:val="00AE25ED"/>
  </w:style>
  <w:style w:type="paragraph" w:styleId="a8">
    <w:name w:val="No Spacing"/>
    <w:aliases w:val="Основной,No Spacing,Без интервала1,Шаклу услуби дуруст,основной,манижа,наргис"/>
    <w:link w:val="a7"/>
    <w:uiPriority w:val="1"/>
    <w:qFormat/>
    <w:rsid w:val="00AE25ED"/>
    <w:pPr>
      <w:spacing w:after="0" w:line="240" w:lineRule="auto"/>
    </w:pPr>
  </w:style>
  <w:style w:type="paragraph" w:styleId="HTML">
    <w:name w:val="HTML Preformatted"/>
    <w:basedOn w:val="a"/>
    <w:link w:val="HTML0"/>
    <w:uiPriority w:val="99"/>
    <w:unhideWhenUsed/>
    <w:rsid w:val="00AE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25ED"/>
    <w:rPr>
      <w:rFonts w:ascii="Courier New" w:eastAsia="Times New Roman" w:hAnsi="Courier New" w:cs="Courier New"/>
      <w:sz w:val="20"/>
      <w:szCs w:val="20"/>
      <w:lang w:eastAsia="ru-RU"/>
    </w:rPr>
  </w:style>
  <w:style w:type="table" w:styleId="a9">
    <w:name w:val="Table Grid"/>
    <w:basedOn w:val="a1"/>
    <w:uiPriority w:val="39"/>
    <w:rsid w:val="00AE2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E25ED"/>
  </w:style>
  <w:style w:type="character" w:customStyle="1" w:styleId="20">
    <w:name w:val="Заголовок 2 Знак"/>
    <w:basedOn w:val="a0"/>
    <w:link w:val="2"/>
    <w:uiPriority w:val="9"/>
    <w:semiHidden/>
    <w:rsid w:val="00AE25ED"/>
    <w:rPr>
      <w:rFonts w:asciiTheme="majorHAnsi" w:eastAsiaTheme="majorEastAsia" w:hAnsiTheme="majorHAnsi" w:cstheme="majorBidi"/>
      <w:color w:val="2E74B5" w:themeColor="accent1" w:themeShade="BF"/>
      <w:sz w:val="26"/>
      <w:szCs w:val="26"/>
    </w:rPr>
  </w:style>
  <w:style w:type="character" w:customStyle="1" w:styleId="ezkurwreuab5ozgtqnkl">
    <w:name w:val="ezkurwreuab5ozgtqnkl"/>
    <w:basedOn w:val="a0"/>
    <w:rsid w:val="00AE25ED"/>
  </w:style>
  <w:style w:type="paragraph" w:styleId="aa">
    <w:name w:val="header"/>
    <w:basedOn w:val="a"/>
    <w:link w:val="ab"/>
    <w:uiPriority w:val="99"/>
    <w:unhideWhenUsed/>
    <w:rsid w:val="007042D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042DF"/>
  </w:style>
  <w:style w:type="paragraph" w:styleId="ac">
    <w:name w:val="footer"/>
    <w:basedOn w:val="a"/>
    <w:link w:val="ad"/>
    <w:uiPriority w:val="99"/>
    <w:unhideWhenUsed/>
    <w:rsid w:val="007042D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042DF"/>
  </w:style>
  <w:style w:type="paragraph" w:styleId="ae">
    <w:name w:val="Balloon Text"/>
    <w:basedOn w:val="a"/>
    <w:link w:val="af"/>
    <w:uiPriority w:val="99"/>
    <w:semiHidden/>
    <w:unhideWhenUsed/>
    <w:rsid w:val="009126B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126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CD76-81CD-4A0F-BF52-32986D0B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8</Pages>
  <Words>2665</Words>
  <Characters>15194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266</cp:revision>
  <cp:lastPrinted>2024-12-23T09:41:00Z</cp:lastPrinted>
  <dcterms:created xsi:type="dcterms:W3CDTF">2025-01-24T08:28:00Z</dcterms:created>
  <dcterms:modified xsi:type="dcterms:W3CDTF">2025-03-28T03:04:00Z</dcterms:modified>
</cp:coreProperties>
</file>